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CC57" w14:textId="77777777" w:rsidR="00ED4501" w:rsidRDefault="00ED4501" w:rsidP="00225758">
      <w:pPr>
        <w:jc w:val="center"/>
        <w:rPr>
          <w:b/>
          <w:bCs/>
        </w:rPr>
      </w:pPr>
    </w:p>
    <w:p w14:paraId="34D37040" w14:textId="47DDA438" w:rsidR="00225758" w:rsidRPr="00225758" w:rsidRDefault="009E4C98" w:rsidP="00225758">
      <w:pPr>
        <w:jc w:val="center"/>
        <w:rPr>
          <w:b/>
          <w:bCs/>
        </w:rPr>
      </w:pPr>
      <w:r w:rsidRPr="00225758">
        <w:rPr>
          <w:b/>
          <w:bCs/>
        </w:rPr>
        <w:t>IFSEC &amp; FIREX International 2022</w:t>
      </w:r>
    </w:p>
    <w:p w14:paraId="67CDF347" w14:textId="2D418908" w:rsidR="00225758" w:rsidRPr="00225758" w:rsidRDefault="00225758" w:rsidP="00676B0E">
      <w:pPr>
        <w:jc w:val="center"/>
        <w:rPr>
          <w:b/>
          <w:bCs/>
        </w:rPr>
      </w:pPr>
      <w:r w:rsidRPr="00225758">
        <w:rPr>
          <w:b/>
          <w:bCs/>
        </w:rPr>
        <w:t xml:space="preserve">Centro fieristico ExEl di </w:t>
      </w:r>
      <w:r w:rsidR="009E4C98" w:rsidRPr="00225758">
        <w:rPr>
          <w:b/>
          <w:bCs/>
        </w:rPr>
        <w:t>Londra</w:t>
      </w:r>
      <w:r w:rsidRPr="00225758">
        <w:rPr>
          <w:b/>
          <w:bCs/>
        </w:rPr>
        <w:t xml:space="preserve">, </w:t>
      </w:r>
      <w:r w:rsidRPr="00A05341">
        <w:rPr>
          <w:b/>
          <w:bCs/>
        </w:rPr>
        <w:t>17 al 19 Maggio 2022</w:t>
      </w:r>
    </w:p>
    <w:p w14:paraId="47FF01F1" w14:textId="79405292" w:rsidR="00A05341" w:rsidRDefault="00A05341" w:rsidP="002124AE">
      <w:pPr>
        <w:jc w:val="both"/>
      </w:pPr>
      <w:r>
        <w:t xml:space="preserve">ICE, Agenzia per la promozione all’estero delle imprese italiane, </w:t>
      </w:r>
      <w:r>
        <w:t xml:space="preserve">a seguito di accordo </w:t>
      </w:r>
      <w:r w:rsidRPr="00A05341">
        <w:t>con Informa Markets</w:t>
      </w:r>
      <w:r>
        <w:t xml:space="preserve"> ha </w:t>
      </w:r>
      <w:r w:rsidRPr="00A05341">
        <w:t>assu</w:t>
      </w:r>
      <w:r>
        <w:t>nto</w:t>
      </w:r>
      <w:r w:rsidRPr="00A05341">
        <w:t xml:space="preserve"> il ruolo di agente rappresentante in Italia per l</w:t>
      </w:r>
      <w:r w:rsidR="00CF7795">
        <w:t>a</w:t>
      </w:r>
      <w:r w:rsidRPr="00A05341">
        <w:t xml:space="preserve"> fier</w:t>
      </w:r>
      <w:r w:rsidR="00CF7795">
        <w:t>a</w:t>
      </w:r>
      <w:r>
        <w:t xml:space="preserve"> IFSEC </w:t>
      </w:r>
      <w:r w:rsidR="00CF7795">
        <w:t>&amp;</w:t>
      </w:r>
      <w:r w:rsidRPr="00A05341">
        <w:t xml:space="preserve"> FIREX International che si terr</w:t>
      </w:r>
      <w:r w:rsidR="00CF7795">
        <w:t>á</w:t>
      </w:r>
      <w:r w:rsidRPr="00A05341">
        <w:t> a Londra presso il centro fieristico Excel dal 17 al 19 Maggio 2022.</w:t>
      </w:r>
    </w:p>
    <w:p w14:paraId="33ACB5F5" w14:textId="36DC98C6" w:rsidR="00ED4501" w:rsidRDefault="00ED4501" w:rsidP="00A05341">
      <w:r>
        <w:rPr>
          <w:noProof/>
        </w:rPr>
        <w:drawing>
          <wp:inline distT="0" distB="0" distL="0" distR="0" wp14:anchorId="7E9CA496" wp14:editId="64B2B527">
            <wp:extent cx="5713095" cy="951230"/>
            <wp:effectExtent l="0" t="0" r="1905" b="127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2E2F8" w14:textId="42D02F1A" w:rsidR="00D576F7" w:rsidRPr="00D576F7" w:rsidRDefault="00D576F7" w:rsidP="00A05341">
      <w:pPr>
        <w:rPr>
          <w:b/>
          <w:bCs/>
          <w:u w:val="single"/>
        </w:rPr>
      </w:pPr>
      <w:r w:rsidRPr="00D576F7">
        <w:rPr>
          <w:b/>
          <w:bCs/>
          <w:u w:val="single"/>
        </w:rPr>
        <w:t>PERCHE’ PARTECIPARE</w:t>
      </w:r>
    </w:p>
    <w:p w14:paraId="517BEA22" w14:textId="1E43EB1C" w:rsidR="00A05341" w:rsidRDefault="00A05341" w:rsidP="002124AE">
      <w:pPr>
        <w:jc w:val="both"/>
      </w:pPr>
      <w:r>
        <w:t>Con oltre 650 espositori da 36 paesi e oltre 30 mila visitatori di cui quasi la metà provenienti dall’estero, IFSEC</w:t>
      </w:r>
      <w:r>
        <w:t xml:space="preserve"> &amp; FIREX</w:t>
      </w:r>
      <w:r>
        <w:t xml:space="preserve"> International, </w:t>
      </w:r>
      <w:r w:rsidR="00CF7795">
        <w:t>é</w:t>
      </w:r>
      <w:r>
        <w:t xml:space="preserve"> il</w:t>
      </w:r>
      <w:r>
        <w:t xml:space="preserve"> principale evento security in Europa,</w:t>
      </w:r>
      <w:r>
        <w:t xml:space="preserve"> </w:t>
      </w:r>
      <w:r>
        <w:t>che dal 17 al 19 maggio si svolgerà presso l’ExCeL London,</w:t>
      </w:r>
      <w:r>
        <w:t xml:space="preserve"> </w:t>
      </w:r>
      <w:r>
        <w:t>con l’adesione di oltre 500 espositori. Nel corso dei tre</w:t>
      </w:r>
      <w:r>
        <w:t xml:space="preserve"> </w:t>
      </w:r>
      <w:r>
        <w:t>giorni di manifestazione, i partecipanti potranno scoprire le</w:t>
      </w:r>
      <w:r>
        <w:t xml:space="preserve"> </w:t>
      </w:r>
      <w:r>
        <w:t>ultime tecnologie in tutti i segmenti della sicurezza,</w:t>
      </w:r>
      <w:r>
        <w:t xml:space="preserve"> </w:t>
      </w:r>
      <w:r>
        <w:t>aggiornarsi grazie agli incontri di formazione tenuti da</w:t>
      </w:r>
      <w:r>
        <w:t xml:space="preserve"> </w:t>
      </w:r>
      <w:r>
        <w:t>esperti, incontrare colleghi e partner e mettersi in contatto</w:t>
      </w:r>
      <w:r>
        <w:t xml:space="preserve"> </w:t>
      </w:r>
      <w:r>
        <w:t>con i più grandi nomi dell’industria. A IFSEC saranno</w:t>
      </w:r>
      <w:r>
        <w:t xml:space="preserve"> </w:t>
      </w:r>
      <w:r>
        <w:t>presentati i dispositivi e i sistemi security più smart del</w:t>
      </w:r>
      <w:r>
        <w:t xml:space="preserve"> </w:t>
      </w:r>
      <w:r>
        <w:t>settore videosorveglianza, cyber security, sicurezza fisica e</w:t>
      </w:r>
      <w:r>
        <w:t xml:space="preserve"> </w:t>
      </w:r>
      <w:r>
        <w:t>perimetrale, antintrusione, controllo accessi e antincendio:</w:t>
      </w:r>
      <w:r>
        <w:t xml:space="preserve"> </w:t>
      </w:r>
      <w:r>
        <w:t>oltre 10.000 prodotti security concentrati in un unico spazio</w:t>
      </w:r>
      <w:r>
        <w:t xml:space="preserve"> </w:t>
      </w:r>
      <w:r>
        <w:t>espositivo. In concomitanza, come di consueto, si svolgerà</w:t>
      </w:r>
      <w:r>
        <w:t xml:space="preserve"> </w:t>
      </w:r>
      <w:r>
        <w:t>FIREX 2022, evento di riferimento in Europa sui temi</w:t>
      </w:r>
      <w:r>
        <w:t xml:space="preserve"> </w:t>
      </w:r>
      <w:r>
        <w:t>dell’antincendio: l’occasione ideale per unire strategie</w:t>
      </w:r>
      <w:r w:rsidR="00CF7795">
        <w:t xml:space="preserve"> </w:t>
      </w:r>
      <w:r>
        <w:t>security e safety finalizzate alla protezione di beni e</w:t>
      </w:r>
      <w:r>
        <w:t xml:space="preserve"> </w:t>
      </w:r>
      <w:r>
        <w:t>persone.</w:t>
      </w:r>
    </w:p>
    <w:p w14:paraId="03ED90F3" w14:textId="77777777" w:rsidR="00CF7795" w:rsidRDefault="00A05341" w:rsidP="002124AE">
      <w:pPr>
        <w:jc w:val="both"/>
      </w:pPr>
      <w:r>
        <w:t>IFSEC</w:t>
      </w:r>
      <w:r w:rsidR="00CF7795">
        <w:t xml:space="preserve"> &amp; FIREX</w:t>
      </w:r>
      <w:r>
        <w:t xml:space="preserve"> International </w:t>
      </w:r>
      <w:r w:rsidR="00CF7795">
        <w:t>sono</w:t>
      </w:r>
      <w:r>
        <w:t xml:space="preserve"> un appuntamento di primissimo piano per tutti gli operatori della filiera della Sicurezza. Focus della manifestazione sono le principali tecnologie, soluzioni e innovazioni dei settori Access Control and Biometrics, Counter-Terror, IP Integrated Security, Video-Sorveglianza, Protezione fisica, Protezione del lavoratore, Edificio intelligente</w:t>
      </w:r>
      <w:r w:rsidR="00CF7795">
        <w:t xml:space="preserve">, </w:t>
      </w:r>
      <w:r w:rsidR="00CF7795">
        <w:t>Estintori</w:t>
      </w:r>
      <w:r w:rsidR="00CF7795">
        <w:t xml:space="preserve">, </w:t>
      </w:r>
      <w:r w:rsidR="00CF7795">
        <w:t>Rilevazione incendi</w:t>
      </w:r>
      <w:r w:rsidR="00CF7795">
        <w:t xml:space="preserve">, </w:t>
      </w:r>
      <w:r w:rsidR="00CF7795">
        <w:t>Prevenzione/Protezione incendi e sicurezza</w:t>
      </w:r>
      <w:r>
        <w:t xml:space="preserve">. </w:t>
      </w:r>
    </w:p>
    <w:p w14:paraId="0CF1874E" w14:textId="62626F54" w:rsidR="00A05341" w:rsidRDefault="00A05341" w:rsidP="002124AE">
      <w:pPr>
        <w:jc w:val="both"/>
      </w:pPr>
      <w:r>
        <w:t>Il successo dell’evento fieristico testimonia la crescente importanza che il comparto riveste. Nella sola Gran Bretagna, il settore è cresciuto mediamente dal 20</w:t>
      </w:r>
      <w:r w:rsidR="00CF7795">
        <w:t>20</w:t>
      </w:r>
      <w:r>
        <w:t xml:space="preserve"> del </w:t>
      </w:r>
      <w:r w:rsidR="00CF7795">
        <w:t>17</w:t>
      </w:r>
      <w:r>
        <w:t xml:space="preserve">%, </w:t>
      </w:r>
      <w:r w:rsidR="00CF7795">
        <w:t xml:space="preserve">mentre negli ultimi 5 anni il fatturato é raddoppiato </w:t>
      </w:r>
      <w:r>
        <w:t>toccando</w:t>
      </w:r>
      <w:r w:rsidR="00CF7795">
        <w:t xml:space="preserve"> i</w:t>
      </w:r>
      <w:r>
        <w:t xml:space="preserve"> </w:t>
      </w:r>
      <w:r w:rsidR="00CF7795">
        <w:t>12</w:t>
      </w:r>
      <w:r>
        <w:t>,</w:t>
      </w:r>
      <w:r w:rsidR="00CF7795">
        <w:t>2</w:t>
      </w:r>
      <w:r>
        <w:t xml:space="preserve"> mili</w:t>
      </w:r>
      <w:r w:rsidR="00CF7795">
        <w:t>ardi</w:t>
      </w:r>
      <w:r>
        <w:t>. Basti pensare che, secondo stime governative, il 30% delle abitazioni e ben il 75% degli esercizi commerciali nel paese è dotato di un impianto di allarme, per un valore assoluto pari a 8 milioni di impianti. Si tratta, quindi, di un mercato in forte espansione che continua a ricevere importanti e ingenti finanziamenti, a causa non solo de</w:t>
      </w:r>
      <w:r w:rsidR="00174BA5">
        <w:t>i continui</w:t>
      </w:r>
      <w:r>
        <w:t xml:space="preserve"> fenomeni di terrorismo internazionale, ma anche dell’aumento dei crimini dovuti alla crisi economica e dell’insorgere de</w:t>
      </w:r>
      <w:r w:rsidR="00CF7795">
        <w:t>i</w:t>
      </w:r>
      <w:r>
        <w:t xml:space="preserve"> pericoli legati alle tecnologie informatiche.</w:t>
      </w:r>
    </w:p>
    <w:p w14:paraId="23C3EEB0" w14:textId="47ABD50E" w:rsidR="00CF7795" w:rsidRPr="00CF7795" w:rsidRDefault="00CF7795" w:rsidP="00A05341">
      <w:pPr>
        <w:rPr>
          <w:b/>
          <w:bCs/>
          <w:u w:val="single"/>
        </w:rPr>
      </w:pPr>
      <w:r w:rsidRPr="00CF7795">
        <w:rPr>
          <w:b/>
          <w:bCs/>
          <w:u w:val="single"/>
        </w:rPr>
        <w:t>OFFERTA ICE AGENZIA</w:t>
      </w:r>
    </w:p>
    <w:p w14:paraId="525AB382" w14:textId="5340EA20" w:rsidR="00225758" w:rsidRPr="00A05341" w:rsidRDefault="009E4C98" w:rsidP="002124AE">
      <w:pPr>
        <w:jc w:val="both"/>
      </w:pPr>
      <w:r>
        <w:t>P</w:t>
      </w:r>
      <w:r w:rsidR="00CF7795">
        <w:t>renotando gli spazi</w:t>
      </w:r>
      <w:r>
        <w:t xml:space="preserve"> preallestit</w:t>
      </w:r>
      <w:r w:rsidR="00225758">
        <w:t>i o non ed i pacchetti di promozione e visibilitá messi a disposizione degli organizzatori,</w:t>
      </w:r>
      <w:r>
        <w:t xml:space="preserve"> attraverso ICE Agenzia avrete</w:t>
      </w:r>
      <w:r w:rsidR="00225758">
        <w:t xml:space="preserve"> accesso ad</w:t>
      </w:r>
      <w:r>
        <w:t xml:space="preserve"> assistenza sia pre che post fiera, compreso supporto nelle procedure di registrazione, nonché informazoni di carattere logistico</w:t>
      </w:r>
      <w:r w:rsidR="00225758">
        <w:t xml:space="preserve"> per rendere piú fluida la vostra partecipazione.</w:t>
      </w:r>
    </w:p>
    <w:p w14:paraId="5EC02F38" w14:textId="77777777" w:rsidR="00974DAF" w:rsidRDefault="00974DAF" w:rsidP="00030015">
      <w:pPr>
        <w:spacing w:after="0"/>
      </w:pPr>
    </w:p>
    <w:p w14:paraId="575671FE" w14:textId="7ED2241C" w:rsidR="00A05341" w:rsidRPr="00A05341" w:rsidRDefault="009E4C98" w:rsidP="002124AE">
      <w:pPr>
        <w:spacing w:after="0"/>
        <w:jc w:val="both"/>
      </w:pPr>
      <w:r>
        <w:t>Trovate di seguito</w:t>
      </w:r>
      <w:r w:rsidR="00A05341" w:rsidRPr="00A05341">
        <w:t xml:space="preserve"> il link alla planimetria per la scelta dell'area espositiva:</w:t>
      </w:r>
    </w:p>
    <w:p w14:paraId="42499AA9" w14:textId="7C62A716" w:rsidR="00A05341" w:rsidRPr="00A05341" w:rsidRDefault="00A05341" w:rsidP="002124AE">
      <w:pPr>
        <w:spacing w:after="0"/>
        <w:jc w:val="both"/>
      </w:pPr>
      <w:hyperlink r:id="rId7" w:anchor="floorplan" w:tgtFrame="_blank" w:history="1">
        <w:r w:rsidRPr="00A05341">
          <w:t>https://www.expocad.com/host/fx/informa/pam22/exfx.html#floorplan</w:t>
        </w:r>
      </w:hyperlink>
    </w:p>
    <w:p w14:paraId="6915C9E0" w14:textId="1C87BDA4" w:rsidR="00A05341" w:rsidRPr="00A05341" w:rsidRDefault="00A05341" w:rsidP="002124AE">
      <w:pPr>
        <w:jc w:val="both"/>
      </w:pPr>
      <w:r w:rsidRPr="00A05341">
        <w:t>Il floorplan è in aggiornamento live</w:t>
      </w:r>
      <w:r w:rsidR="009E4C98">
        <w:t xml:space="preserve"> (reale)</w:t>
      </w:r>
      <w:r w:rsidRPr="00A05341">
        <w:t xml:space="preserve"> e le aree disponibili sono quelle in </w:t>
      </w:r>
      <w:r w:rsidR="009E4C98">
        <w:t xml:space="preserve">colore </w:t>
      </w:r>
      <w:r w:rsidRPr="00A05341">
        <w:t>celeste chiaro.</w:t>
      </w:r>
    </w:p>
    <w:p w14:paraId="03EE80C7" w14:textId="7BDD2B52" w:rsidR="00A05341" w:rsidRDefault="009E4C98" w:rsidP="002124AE">
      <w:pPr>
        <w:jc w:val="both"/>
      </w:pPr>
      <w:r>
        <w:t>ICE Agenzia puó</w:t>
      </w:r>
      <w:r w:rsidR="00A05341" w:rsidRPr="00A05341">
        <w:t xml:space="preserve"> aiutarvi nell'individuare l'area piú idonea</w:t>
      </w:r>
      <w:r>
        <w:t xml:space="preserve"> alle vostre esigenze</w:t>
      </w:r>
      <w:r w:rsidR="00A05341" w:rsidRPr="00A05341">
        <w:t>.</w:t>
      </w:r>
    </w:p>
    <w:p w14:paraId="6FCF0312" w14:textId="75689DC6" w:rsidR="00A05341" w:rsidRPr="00A05341" w:rsidRDefault="00225758" w:rsidP="002124AE">
      <w:pPr>
        <w:jc w:val="both"/>
      </w:pPr>
      <w:r>
        <w:t>NB: i costi differiscono a seconda che si esponga nell’area IFSEC o nell’area FIREX.</w:t>
      </w:r>
    </w:p>
    <w:p w14:paraId="73B5ACE4" w14:textId="14A8A12E" w:rsidR="00A05341" w:rsidRPr="00A05341" w:rsidRDefault="00A05341" w:rsidP="002124AE">
      <w:pPr>
        <w:jc w:val="both"/>
      </w:pPr>
      <w:r w:rsidRPr="00A05341">
        <w:t>Per vostra comodità segu</w:t>
      </w:r>
      <w:r w:rsidR="009E4C98">
        <w:t>e</w:t>
      </w:r>
      <w:r w:rsidRPr="00A05341">
        <w:t xml:space="preserve"> </w:t>
      </w:r>
      <w:r w:rsidR="009E4C98">
        <w:t>il</w:t>
      </w:r>
      <w:r w:rsidRPr="00A05341">
        <w:t xml:space="preserve"> breakdown dei prezzi:</w:t>
      </w:r>
    </w:p>
    <w:p w14:paraId="00078806" w14:textId="3304E696" w:rsidR="00225758" w:rsidRPr="00225758" w:rsidRDefault="00225758" w:rsidP="002257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bCs/>
          <w:color w:val="000000"/>
        </w:rPr>
      </w:pPr>
      <w:r w:rsidRPr="00225758">
        <w:rPr>
          <w:b/>
          <w:bCs/>
          <w:color w:val="000000"/>
        </w:rPr>
        <w:t>Prezzi per</w:t>
      </w:r>
      <w:r w:rsidRPr="00225758">
        <w:rPr>
          <w:b/>
          <w:bCs/>
          <w:color w:val="000000"/>
        </w:rPr>
        <w:t xml:space="preserve"> IFSEC 2022:</w:t>
      </w:r>
    </w:p>
    <w:tbl>
      <w:tblPr>
        <w:tblW w:w="919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261"/>
        <w:gridCol w:w="3118"/>
        <w:gridCol w:w="2816"/>
      </w:tblGrid>
      <w:tr w:rsidR="00225758" w14:paraId="29C8A51A" w14:textId="77777777" w:rsidTr="00D97CAD">
        <w:trPr>
          <w:trHeight w:val="31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A10B7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STAND TYPE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021B7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1371" w14:textId="00F4C021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Costo al mq</w:t>
            </w:r>
          </w:p>
        </w:tc>
      </w:tr>
      <w:tr w:rsidR="00225758" w14:paraId="0FF77EB5" w14:textId="77777777" w:rsidTr="00D97CAD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02AC" w14:textId="77777777" w:rsidR="00225758" w:rsidRPr="00225758" w:rsidRDefault="00225758" w:rsidP="0022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225758">
              <w:rPr>
                <w:color w:val="000000"/>
              </w:rPr>
              <w:t xml:space="preserve">Area </w:t>
            </w:r>
            <w:r>
              <w:rPr>
                <w:color w:val="000000"/>
              </w:rPr>
              <w:t>preallestita</w:t>
            </w:r>
          </w:p>
          <w:p w14:paraId="1172A220" w14:textId="56AB214D" w:rsidR="00225758" w:rsidRPr="00225758" w:rsidRDefault="00225758" w:rsidP="00225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225758">
              <w:rPr>
                <w:color w:val="000000"/>
              </w:rPr>
              <w:t xml:space="preserve"> (incluso luci &amp; elettricitá)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26AA2" w14:textId="77777777" w:rsidR="00225758" w:rsidRP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ADDB" w14:textId="6EA56CEA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£596 per  </w:t>
            </w:r>
            <w:r>
              <w:rPr>
                <w:color w:val="000000"/>
              </w:rPr>
              <w:t>mq</w:t>
            </w:r>
          </w:p>
        </w:tc>
      </w:tr>
      <w:tr w:rsidR="00225758" w14:paraId="17AC7FEE" w14:textId="77777777" w:rsidTr="00D97CAD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4988F" w14:textId="12C05F70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Area cruda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D5F45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B22E" w14:textId="760F4630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£524 per </w:t>
            </w:r>
            <w:r>
              <w:rPr>
                <w:color w:val="000000"/>
              </w:rPr>
              <w:t>mq</w:t>
            </w:r>
          </w:p>
        </w:tc>
      </w:tr>
    </w:tbl>
    <w:p w14:paraId="39B89782" w14:textId="0DE06AA9" w:rsidR="00225758" w:rsidRPr="003C3D1E" w:rsidRDefault="00225758" w:rsidP="00974D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color w:val="000000"/>
        </w:rPr>
      </w:pPr>
      <w:r>
        <w:rPr>
          <w:color w:val="000000"/>
        </w:rPr>
        <w:t> </w:t>
      </w:r>
      <w:r w:rsidRPr="00225758">
        <w:rPr>
          <w:b/>
          <w:bCs/>
          <w:color w:val="000000"/>
        </w:rPr>
        <w:t>Prezzi per</w:t>
      </w:r>
      <w:r w:rsidRPr="00225758">
        <w:rPr>
          <w:b/>
          <w:bCs/>
          <w:color w:val="000000"/>
        </w:rPr>
        <w:t xml:space="preserve"> FIREX  2022:</w:t>
      </w:r>
      <w:r w:rsidRPr="003C3D1E">
        <w:rPr>
          <w:color w:val="000000"/>
        </w:rPr>
        <w:t xml:space="preserve">    </w:t>
      </w:r>
    </w:p>
    <w:tbl>
      <w:tblPr>
        <w:tblW w:w="9194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261"/>
        <w:gridCol w:w="3402"/>
        <w:gridCol w:w="2531"/>
      </w:tblGrid>
      <w:tr w:rsidR="00225758" w14:paraId="510AA401" w14:textId="77777777" w:rsidTr="00D97CAD">
        <w:trPr>
          <w:trHeight w:val="31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93023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STAND TYPE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8ADB9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D4131" w14:textId="0500208A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Costo al mq</w:t>
            </w:r>
          </w:p>
        </w:tc>
      </w:tr>
      <w:tr w:rsidR="00225758" w14:paraId="004AFD12" w14:textId="77777777" w:rsidTr="00D97CAD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2A4D7" w14:textId="0990BF6D" w:rsidR="00225758" w:rsidRP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225758">
              <w:rPr>
                <w:color w:val="000000"/>
              </w:rPr>
              <w:t xml:space="preserve">Area </w:t>
            </w:r>
            <w:r>
              <w:rPr>
                <w:color w:val="000000"/>
              </w:rPr>
              <w:t>preallestita</w:t>
            </w:r>
          </w:p>
          <w:p w14:paraId="37BA83DA" w14:textId="5ABB8D4F" w:rsidR="00225758" w:rsidRP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225758">
              <w:rPr>
                <w:color w:val="000000"/>
              </w:rPr>
              <w:t xml:space="preserve"> (inclu</w:t>
            </w:r>
            <w:r w:rsidRPr="00225758">
              <w:rPr>
                <w:color w:val="000000"/>
              </w:rPr>
              <w:t>so</w:t>
            </w:r>
            <w:r w:rsidRPr="00225758">
              <w:rPr>
                <w:color w:val="000000"/>
              </w:rPr>
              <w:t xml:space="preserve"> l</w:t>
            </w:r>
            <w:r w:rsidRPr="00225758">
              <w:rPr>
                <w:color w:val="000000"/>
              </w:rPr>
              <w:t>uci</w:t>
            </w:r>
            <w:r w:rsidRPr="00225758">
              <w:rPr>
                <w:color w:val="000000"/>
              </w:rPr>
              <w:t xml:space="preserve"> &amp; </w:t>
            </w:r>
            <w:r w:rsidRPr="00225758">
              <w:rPr>
                <w:color w:val="000000"/>
              </w:rPr>
              <w:t>elettricitá</w:t>
            </w:r>
            <w:r w:rsidRPr="00225758">
              <w:rPr>
                <w:color w:val="000000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1216F" w14:textId="77777777" w:rsidR="00225758" w:rsidRP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4C4DA1" w14:textId="0FF45FFA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£504 per  </w:t>
            </w:r>
            <w:r>
              <w:rPr>
                <w:color w:val="000000"/>
              </w:rPr>
              <w:t>mq</w:t>
            </w:r>
          </w:p>
        </w:tc>
      </w:tr>
      <w:tr w:rsidR="00225758" w14:paraId="5D0D579E" w14:textId="77777777" w:rsidTr="00D97CAD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B5E73" w14:textId="0FA8BA65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Area cruda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3437D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0CEE0" w14:textId="0624452D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£398 per </w:t>
            </w:r>
            <w:r>
              <w:rPr>
                <w:color w:val="000000"/>
              </w:rPr>
              <w:t>mq</w:t>
            </w:r>
          </w:p>
        </w:tc>
      </w:tr>
    </w:tbl>
    <w:p w14:paraId="35AEC91C" w14:textId="1010457A" w:rsidR="00225758" w:rsidRPr="00225758" w:rsidRDefault="00174BA5" w:rsidP="00974D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bCs/>
          <w:color w:val="000000"/>
        </w:rPr>
      </w:pPr>
      <w:r w:rsidRPr="00A05341">
        <w:rPr>
          <w:b/>
          <w:bCs/>
        </w:rPr>
        <w:t>Costi per azioni di promozione e visibilitá</w:t>
      </w:r>
      <w:r w:rsidRPr="00A05341">
        <w:t xml:space="preserve"> </w:t>
      </w:r>
      <w:r w:rsidR="00225758" w:rsidRPr="00225758">
        <w:rPr>
          <w:b/>
          <w:bCs/>
          <w:color w:val="000000"/>
        </w:rPr>
        <w:t>Media Packs 2022:</w:t>
      </w:r>
    </w:p>
    <w:tbl>
      <w:tblPr>
        <w:tblW w:w="919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976"/>
        <w:gridCol w:w="2958"/>
      </w:tblGrid>
      <w:tr w:rsidR="00225758" w14:paraId="0EB70A9E" w14:textId="77777777" w:rsidTr="00D97CAD">
        <w:trPr>
          <w:trHeight w:val="315"/>
        </w:trPr>
        <w:tc>
          <w:tcPr>
            <w:tcW w:w="3261" w:type="dxa"/>
            <w:tcBorders>
              <w:bottom w:val="single" w:sz="8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5FA16" w14:textId="3AA23522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37D957" w14:textId="200BC053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Costo ad azienda</w:t>
            </w:r>
          </w:p>
        </w:tc>
        <w:tc>
          <w:tcPr>
            <w:tcW w:w="2958" w:type="dxa"/>
            <w:tcBorders>
              <w:bottom w:val="single" w:sz="8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98CB0" w14:textId="2D056A14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t>Incluso nel pacchetto</w:t>
            </w:r>
          </w:p>
        </w:tc>
      </w:tr>
      <w:tr w:rsidR="00225758" w:rsidRPr="00174BA5" w14:paraId="3652CD30" w14:textId="77777777" w:rsidTr="00D97CAD">
        <w:trPr>
          <w:trHeight w:val="315"/>
        </w:trPr>
        <w:tc>
          <w:tcPr>
            <w:tcW w:w="32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EF83D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IFSEC Media Pack</w:t>
            </w:r>
          </w:p>
        </w:tc>
        <w:tc>
          <w:tcPr>
            <w:tcW w:w="29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5EF6A" w14:textId="74B096C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£795 per </w:t>
            </w:r>
            <w:r>
              <w:rPr>
                <w:color w:val="000000"/>
              </w:rPr>
              <w:t>azienda</w:t>
            </w:r>
          </w:p>
        </w:tc>
        <w:tc>
          <w:tcPr>
            <w:tcW w:w="29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E7247" w14:textId="7BC07F87" w:rsidR="00225758" w:rsidRPr="00174BA5" w:rsidRDefault="00174BA5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174BA5">
              <w:rPr>
                <w:color w:val="000000"/>
              </w:rPr>
              <w:t>Quota di registrazione</w:t>
            </w:r>
            <w:r w:rsidR="00225758" w:rsidRPr="00174BA5">
              <w:rPr>
                <w:color w:val="000000"/>
              </w:rPr>
              <w:t xml:space="preserve">, Web Listing Fee, </w:t>
            </w:r>
            <w:r w:rsidRPr="00174BA5">
              <w:rPr>
                <w:color w:val="000000"/>
              </w:rPr>
              <w:t>e</w:t>
            </w:r>
            <w:r w:rsidR="00225758" w:rsidRPr="00174BA5">
              <w:rPr>
                <w:color w:val="000000"/>
              </w:rPr>
              <w:t xml:space="preserve"> Lead Capture Package*</w:t>
            </w:r>
          </w:p>
        </w:tc>
      </w:tr>
      <w:tr w:rsidR="00225758" w:rsidRPr="00174BA5" w14:paraId="216CDB38" w14:textId="77777777" w:rsidTr="00D97CAD">
        <w:trPr>
          <w:trHeight w:val="315"/>
        </w:trPr>
        <w:tc>
          <w:tcPr>
            <w:tcW w:w="32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6682C" w14:textId="77777777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FIREX Media Pack</w:t>
            </w:r>
          </w:p>
        </w:tc>
        <w:tc>
          <w:tcPr>
            <w:tcW w:w="29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271DF4" w14:textId="1517CD4E" w:rsidR="00225758" w:rsidRDefault="00225758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£595 per </w:t>
            </w:r>
            <w:r>
              <w:rPr>
                <w:color w:val="000000"/>
              </w:rPr>
              <w:t>azienda</w:t>
            </w:r>
          </w:p>
        </w:tc>
        <w:tc>
          <w:tcPr>
            <w:tcW w:w="29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4D56F" w14:textId="5142B21F" w:rsidR="00225758" w:rsidRPr="00174BA5" w:rsidRDefault="00174BA5" w:rsidP="00D97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 w:rsidRPr="00174BA5">
              <w:rPr>
                <w:color w:val="000000"/>
              </w:rPr>
              <w:t>Quota di registrazione, Web Listing Fee, e Lead Capture Package*</w:t>
            </w:r>
          </w:p>
        </w:tc>
      </w:tr>
    </w:tbl>
    <w:p w14:paraId="2BF853AD" w14:textId="08BB077E" w:rsidR="00A05341" w:rsidRDefault="00A05341" w:rsidP="00A05341">
      <w:r w:rsidRPr="00A05341">
        <w:t>*Il pacchetto comprende la possibilità per l'azienda di essere inserita nell'elenco degli espositori sul sito ufficiale, con logo, descrizione e recapiti, oltre allo strumento Lead Capture</w:t>
      </w:r>
      <w:r w:rsidR="00174BA5">
        <w:t xml:space="preserve"> Package</w:t>
      </w:r>
      <w:r w:rsidRPr="00A05341">
        <w:t>:</w:t>
      </w:r>
      <w:r w:rsidR="002124AE">
        <w:t xml:space="preserve"> </w:t>
      </w:r>
      <w:r w:rsidRPr="00A05341">
        <w:t>promozione online, via e-mail (DEM) e social media.</w:t>
      </w:r>
    </w:p>
    <w:p w14:paraId="29AA1AB4" w14:textId="77777777" w:rsidR="00174BA5" w:rsidRDefault="00174BA5" w:rsidP="00174BA5">
      <w:r>
        <w:t xml:space="preserve">Per maggiori informazioni potete visitare il sito ufficiale della fiera: </w:t>
      </w:r>
    </w:p>
    <w:p w14:paraId="28B0A7EE" w14:textId="2C3C1AE9" w:rsidR="00174BA5" w:rsidRDefault="00174BA5" w:rsidP="00174BA5">
      <w:pPr>
        <w:rPr>
          <w:lang w:val="en-GB"/>
        </w:rPr>
      </w:pPr>
      <w:r w:rsidRPr="00174BA5">
        <w:rPr>
          <w:lang w:val="en-GB"/>
        </w:rPr>
        <w:t>IFSEC</w:t>
      </w:r>
      <w:r>
        <w:rPr>
          <w:lang w:val="en-GB"/>
        </w:rPr>
        <w:t xml:space="preserve"> - </w:t>
      </w:r>
      <w:r w:rsidRPr="00174BA5">
        <w:rPr>
          <w:lang w:val="en-GB"/>
        </w:rPr>
        <w:t xml:space="preserve"> </w:t>
      </w:r>
      <w:hyperlink r:id="rId8" w:history="1">
        <w:r w:rsidRPr="00884CAE">
          <w:rPr>
            <w:rStyle w:val="Hyperlink"/>
            <w:lang w:val="en-GB"/>
          </w:rPr>
          <w:t>https://www.ifsecglobal.com/ifsec-international-security-event/</w:t>
        </w:r>
      </w:hyperlink>
    </w:p>
    <w:p w14:paraId="0F1C2E19" w14:textId="670BC46D" w:rsidR="00174BA5" w:rsidRDefault="00174BA5" w:rsidP="00174BA5">
      <w:pPr>
        <w:rPr>
          <w:lang w:val="en-GB"/>
        </w:rPr>
      </w:pPr>
      <w:r>
        <w:rPr>
          <w:lang w:val="en-GB"/>
        </w:rPr>
        <w:t xml:space="preserve">FIREX - </w:t>
      </w:r>
      <w:hyperlink r:id="rId9" w:history="1">
        <w:r w:rsidRPr="00884CAE">
          <w:rPr>
            <w:rStyle w:val="Hyperlink"/>
            <w:lang w:val="en-GB"/>
          </w:rPr>
          <w:t>https://www.firex.co.uk/en/home.html</w:t>
        </w:r>
      </w:hyperlink>
      <w:r>
        <w:rPr>
          <w:lang w:val="en-GB"/>
        </w:rPr>
        <w:t xml:space="preserve"> </w:t>
      </w:r>
    </w:p>
    <w:p w14:paraId="5D58E21E" w14:textId="0C6ACC68" w:rsidR="00174BA5" w:rsidRPr="00174BA5" w:rsidRDefault="00F868B2" w:rsidP="00174BA5">
      <w:r>
        <w:t>Se siete interessati a partecipare potete contattare</w:t>
      </w:r>
      <w:r w:rsidR="00174BA5" w:rsidRPr="00174BA5">
        <w:t xml:space="preserve"> l’ufficio ICE d</w:t>
      </w:r>
      <w:r w:rsidR="00174BA5">
        <w:t xml:space="preserve">i Londra all’indirizzo </w:t>
      </w:r>
      <w:hyperlink r:id="rId10" w:history="1">
        <w:r w:rsidR="00174BA5" w:rsidRPr="00884CAE">
          <w:rPr>
            <w:rStyle w:val="Hyperlink"/>
          </w:rPr>
          <w:t>londra@ice.it</w:t>
        </w:r>
      </w:hyperlink>
      <w:r w:rsidR="00174BA5">
        <w:t xml:space="preserve"> o direttamente il Dr. Filippo Mansani </w:t>
      </w:r>
      <w:hyperlink r:id="rId11" w:history="1">
        <w:r w:rsidR="00174BA5" w:rsidRPr="00884CAE">
          <w:rPr>
            <w:rStyle w:val="Hyperlink"/>
          </w:rPr>
          <w:t>f.mansani@ice.it</w:t>
        </w:r>
      </w:hyperlink>
      <w:r w:rsidR="00174BA5">
        <w:t xml:space="preserve"> (tel. +44(0)2072923918).</w:t>
      </w:r>
    </w:p>
    <w:sectPr w:rsidR="00174BA5" w:rsidRPr="00174BA5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C709" w14:textId="77777777" w:rsidR="00676B0E" w:rsidRDefault="00676B0E" w:rsidP="00676B0E">
      <w:pPr>
        <w:spacing w:after="0" w:line="240" w:lineRule="auto"/>
      </w:pPr>
      <w:r>
        <w:separator/>
      </w:r>
    </w:p>
  </w:endnote>
  <w:endnote w:type="continuationSeparator" w:id="0">
    <w:p w14:paraId="14D7156E" w14:textId="77777777" w:rsidR="00676B0E" w:rsidRDefault="00676B0E" w:rsidP="0067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D476F" w14:textId="77777777" w:rsidR="00676B0E" w:rsidRDefault="00676B0E" w:rsidP="00676B0E">
      <w:pPr>
        <w:spacing w:after="0" w:line="240" w:lineRule="auto"/>
      </w:pPr>
      <w:r>
        <w:separator/>
      </w:r>
    </w:p>
  </w:footnote>
  <w:footnote w:type="continuationSeparator" w:id="0">
    <w:p w14:paraId="3CBD11E4" w14:textId="77777777" w:rsidR="00676B0E" w:rsidRDefault="00676B0E" w:rsidP="00676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B254" w14:textId="5BEE9E04" w:rsidR="00676B0E" w:rsidRDefault="00676B0E" w:rsidP="00676B0E">
    <w:pPr>
      <w:pStyle w:val="Header"/>
      <w:tabs>
        <w:tab w:val="clear" w:pos="4513"/>
      </w:tabs>
    </w:pPr>
    <w:r w:rsidRPr="00676B0E">
      <w:drawing>
        <wp:anchor distT="0" distB="0" distL="114300" distR="114300" simplePos="0" relativeHeight="251659264" behindDoc="0" locked="0" layoutInCell="1" hidden="0" allowOverlap="1" wp14:anchorId="0AA7D70C" wp14:editId="6792B019">
          <wp:simplePos x="0" y="0"/>
          <wp:positionH relativeFrom="column">
            <wp:posOffset>4006850</wp:posOffset>
          </wp:positionH>
          <wp:positionV relativeFrom="paragraph">
            <wp:posOffset>319405</wp:posOffset>
          </wp:positionV>
          <wp:extent cx="761365" cy="292735"/>
          <wp:effectExtent l="0" t="0" r="635" b="0"/>
          <wp:wrapNone/>
          <wp:docPr id="42" name="image2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2.png" descr="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" cy="292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76B0E">
      <w:drawing>
        <wp:anchor distT="0" distB="0" distL="114300" distR="114300" simplePos="0" relativeHeight="251660288" behindDoc="0" locked="0" layoutInCell="1" hidden="0" allowOverlap="1" wp14:anchorId="44F38AC1" wp14:editId="67E56CFA">
          <wp:simplePos x="0" y="0"/>
          <wp:positionH relativeFrom="column">
            <wp:posOffset>4778375</wp:posOffset>
          </wp:positionH>
          <wp:positionV relativeFrom="paragraph">
            <wp:posOffset>328930</wp:posOffset>
          </wp:positionV>
          <wp:extent cx="742950" cy="285750"/>
          <wp:effectExtent l="0" t="0" r="0" b="0"/>
          <wp:wrapNone/>
          <wp:docPr id="45" name="image1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age1.png" descr="Logo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285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76B0E">
      <w:drawing>
        <wp:anchor distT="0" distB="0" distL="114300" distR="114300" simplePos="0" relativeHeight="251661312" behindDoc="0" locked="0" layoutInCell="1" hidden="0" allowOverlap="1" wp14:anchorId="110EC054" wp14:editId="1E66C6CD">
          <wp:simplePos x="0" y="0"/>
          <wp:positionH relativeFrom="column">
            <wp:posOffset>3492500</wp:posOffset>
          </wp:positionH>
          <wp:positionV relativeFrom="paragraph">
            <wp:posOffset>-205435</wp:posOffset>
          </wp:positionV>
          <wp:extent cx="2486025" cy="504825"/>
          <wp:effectExtent l="0" t="0" r="9525" b="9525"/>
          <wp:wrapNone/>
          <wp:docPr id="44" name="image4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4.png" descr="Logo&#10;&#10;Description automatically generated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8602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inline distT="0" distB="0" distL="0" distR="0" wp14:anchorId="2A02EFAB" wp14:editId="0B323DE7">
          <wp:extent cx="1197294" cy="616271"/>
          <wp:effectExtent l="0" t="0" r="0" b="0"/>
          <wp:docPr id="246" name="image1.png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" name="image1.png" descr="Logo&#10;&#10;Description automatically generated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7294" cy="6162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41"/>
    <w:rsid w:val="00030015"/>
    <w:rsid w:val="00174BA5"/>
    <w:rsid w:val="002124AE"/>
    <w:rsid w:val="00225758"/>
    <w:rsid w:val="00676B0E"/>
    <w:rsid w:val="00945D53"/>
    <w:rsid w:val="00974DAF"/>
    <w:rsid w:val="009E4C98"/>
    <w:rsid w:val="00A05341"/>
    <w:rsid w:val="00CF7795"/>
    <w:rsid w:val="00D576F7"/>
    <w:rsid w:val="00ED4501"/>
    <w:rsid w:val="00F8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2B9B"/>
  <w15:chartTrackingRefBased/>
  <w15:docId w15:val="{83FDF289-8F2A-435E-9032-927194B2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4B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4BA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76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B0E"/>
  </w:style>
  <w:style w:type="paragraph" w:styleId="Footer">
    <w:name w:val="footer"/>
    <w:basedOn w:val="Normal"/>
    <w:link w:val="FooterChar"/>
    <w:uiPriority w:val="99"/>
    <w:unhideWhenUsed/>
    <w:rsid w:val="00676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secglobal.com/ifsec-international-security-event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xpocad.com/host/fx/informa/pam22/exfx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f.mansani@ic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londra@ice.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irex.co.uk/en/home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Mansani Filippo</dc:creator>
  <cp:keywords/>
  <dc:description/>
  <cp:lastModifiedBy>Mansani Filippo</cp:lastModifiedBy>
  <cp:revision>7</cp:revision>
  <cp:lastPrinted>2022-02-23T10:44:00Z</cp:lastPrinted>
  <dcterms:created xsi:type="dcterms:W3CDTF">2022-02-23T09:36:00Z</dcterms:created>
  <dcterms:modified xsi:type="dcterms:W3CDTF">2022-02-23T11:50:00Z</dcterms:modified>
</cp:coreProperties>
</file>