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5B0D" w14:textId="118F0452" w:rsidR="00E05EF7" w:rsidRPr="00C32C5C" w:rsidRDefault="00000000" w:rsidP="00C32C5C">
      <w:pPr>
        <w:pStyle w:val="Titolocomunicato"/>
        <w:jc w:val="center"/>
      </w:pPr>
      <w:r>
        <w:t>COMUNICATO STAMPA</w:t>
      </w:r>
    </w:p>
    <w:p w14:paraId="29C578BE" w14:textId="4F83AA6E" w:rsidR="004029B7" w:rsidRDefault="004029B7" w:rsidP="004029B7">
      <w:pPr>
        <w:pStyle w:val="Datacomunicato"/>
        <w:jc w:val="center"/>
        <w:rPr>
          <w:b/>
          <w:sz w:val="36"/>
        </w:rPr>
      </w:pPr>
      <w:r w:rsidRPr="004029B7">
        <w:rPr>
          <w:b/>
          <w:sz w:val="36"/>
        </w:rPr>
        <w:t xml:space="preserve">Lavoro, in Valle d’Aosta 1.150 assunzioni </w:t>
      </w:r>
      <w:r>
        <w:rPr>
          <w:b/>
          <w:sz w:val="36"/>
        </w:rPr>
        <w:br/>
      </w:r>
      <w:r w:rsidRPr="004029B7">
        <w:rPr>
          <w:b/>
          <w:sz w:val="36"/>
        </w:rPr>
        <w:t>a settembre e 4.530 nel trimestre</w:t>
      </w:r>
    </w:p>
    <w:p w14:paraId="1E884808" w14:textId="268725E5" w:rsidR="00FC0664" w:rsidRPr="00FC0664" w:rsidRDefault="00FC0664" w:rsidP="00FC0664">
      <w:pPr>
        <w:pStyle w:val="Datacomunicato"/>
        <w:jc w:val="both"/>
      </w:pPr>
      <w:r w:rsidRPr="00FC0664">
        <w:t xml:space="preserve">Le imprese della Valle d’Aosta programmano </w:t>
      </w:r>
      <w:r w:rsidRPr="00FC0664">
        <w:rPr>
          <w:b/>
          <w:bCs/>
        </w:rPr>
        <w:t>1.150 nuove assunzioni nel mese di settembre 2026</w:t>
      </w:r>
      <w:r w:rsidRPr="00FC0664">
        <w:t xml:space="preserve">, che salgono a </w:t>
      </w:r>
      <w:r w:rsidRPr="00FC0664">
        <w:rPr>
          <w:b/>
          <w:bCs/>
        </w:rPr>
        <w:t>4.530 nel trimestre settembre-novembre</w:t>
      </w:r>
      <w:r w:rsidRPr="00FC0664">
        <w:t>. È quanto emerge dall’ultimo bollettino del Sistema Informativo Excelsior, realizzato da Unioncamere in collaborazione con il Ministero del Lavoro e delle Politiche Sociali.</w:t>
      </w:r>
    </w:p>
    <w:p w14:paraId="7FB2D999" w14:textId="2A6E5EE1" w:rsidR="00E05EF7" w:rsidRPr="00FC0664" w:rsidRDefault="00C32C5C" w:rsidP="00FC0664">
      <w:pPr>
        <w:pStyle w:val="Datacomunica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CCB391" wp14:editId="294FE4BA">
            <wp:simplePos x="0" y="0"/>
            <wp:positionH relativeFrom="margin">
              <wp:posOffset>-699135</wp:posOffset>
            </wp:positionH>
            <wp:positionV relativeFrom="margin">
              <wp:posOffset>3056890</wp:posOffset>
            </wp:positionV>
            <wp:extent cx="6861175" cy="4574540"/>
            <wp:effectExtent l="0" t="0" r="0" b="0"/>
            <wp:wrapSquare wrapText="bothSides"/>
            <wp:docPr id="6003060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30608" name="Immagine 6003060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175" cy="457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664" w:rsidRPr="00FC0664">
        <w:t xml:space="preserve">Il dato conferma la tenuta della domanda di lavoro regionale e si inserisce in un quadro nazionale nel quale la Valle d’Aosta registra una dinamica migliore: </w:t>
      </w:r>
      <w:r w:rsidR="00FC0664" w:rsidRPr="00FC0664">
        <w:rPr>
          <w:b/>
          <w:bCs/>
        </w:rPr>
        <w:t>+1,1% rispetto a settembre 2025</w:t>
      </w:r>
      <w:r w:rsidR="00FC0664" w:rsidRPr="00FC0664">
        <w:t>, contro il +0,7% del Nord Ovest e il -0,6% dell’Italia, che nello stesso mese programma complessivamente 565.100 entrate.</w:t>
      </w:r>
    </w:p>
    <w:p w14:paraId="520682A3" w14:textId="423FF387" w:rsidR="00FC0664" w:rsidRPr="00FC0664" w:rsidRDefault="00FC0664" w:rsidP="00FC0664">
      <w:pPr>
        <w:pStyle w:val="Datacomunicato"/>
        <w:jc w:val="center"/>
        <w:rPr>
          <w:b/>
          <w:bCs/>
        </w:rPr>
      </w:pPr>
      <w:r w:rsidRPr="00FC0664">
        <w:rPr>
          <w:b/>
          <w:bCs/>
        </w:rPr>
        <w:lastRenderedPageBreak/>
        <w:t>Il terziario traina la domanda di lavoro</w:t>
      </w:r>
    </w:p>
    <w:p w14:paraId="5ECE8B64" w14:textId="77777777" w:rsidR="00FC0664" w:rsidRPr="00FC0664" w:rsidRDefault="00FC0664" w:rsidP="00FC0664">
      <w:pPr>
        <w:pStyle w:val="Datacomunicato"/>
        <w:jc w:val="both"/>
      </w:pPr>
      <w:r w:rsidRPr="00FC0664">
        <w:t xml:space="preserve">Il terziario si conferma il principale motore occupazionale regionale, assorbendo il </w:t>
      </w:r>
      <w:r w:rsidRPr="00FC0664">
        <w:rPr>
          <w:b/>
          <w:bCs/>
        </w:rPr>
        <w:t>78,1% delle entrate del mese</w:t>
      </w:r>
      <w:r w:rsidRPr="00FC0664">
        <w:t>, pari a 900 assunzioni. L’industria, comprese le costruzioni, copre il 16,9% (200 assunzioni), mentre il settore primario rappresenta il restante 5,0% (60).</w:t>
      </w:r>
    </w:p>
    <w:p w14:paraId="34C675E9" w14:textId="77777777" w:rsidR="00FC0664" w:rsidRPr="00FC0664" w:rsidRDefault="00FC0664" w:rsidP="00FC0664">
      <w:pPr>
        <w:pStyle w:val="Datacomunicato"/>
        <w:jc w:val="both"/>
      </w:pPr>
      <w:r w:rsidRPr="00FC0664">
        <w:t xml:space="preserve">I servizi alla persona guidano la classifica settoriale con </w:t>
      </w:r>
      <w:r w:rsidRPr="00FC0664">
        <w:rPr>
          <w:b/>
          <w:bCs/>
        </w:rPr>
        <w:t>300 entrate</w:t>
      </w:r>
      <w:r w:rsidRPr="00FC0664">
        <w:t xml:space="preserve">, seguiti dai servizi di alloggio, ristorazione e turismo con 260. Questi ultimi salgono a </w:t>
      </w:r>
      <w:r w:rsidRPr="00FC0664">
        <w:rPr>
          <w:b/>
          <w:bCs/>
        </w:rPr>
        <w:t>1.750 assunzioni nel trimestre settembre-novembre</w:t>
      </w:r>
      <w:r w:rsidRPr="00FC0664">
        <w:t>, pari al 38,6% del totale, riflettendo la progressiva transizione verso la stagione turistica invernale.</w:t>
      </w:r>
    </w:p>
    <w:p w14:paraId="3EACE8C0" w14:textId="77777777" w:rsidR="00C32C5C" w:rsidRDefault="00C32C5C" w:rsidP="00FC0664">
      <w:pPr>
        <w:pStyle w:val="Datacomunica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3FAA029" wp14:editId="37477F0F">
            <wp:simplePos x="0" y="0"/>
            <wp:positionH relativeFrom="margin">
              <wp:posOffset>-704850</wp:posOffset>
            </wp:positionH>
            <wp:positionV relativeFrom="margin">
              <wp:posOffset>2644140</wp:posOffset>
            </wp:positionV>
            <wp:extent cx="6870700" cy="4581525"/>
            <wp:effectExtent l="0" t="0" r="6350" b="9525"/>
            <wp:wrapSquare wrapText="bothSides"/>
            <wp:docPr id="198455706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57061" name="Immagine 19845570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664" w:rsidRPr="00FC0664">
        <w:t>Seguono i servizi alle imprese (220 entrate), le costruzioni (120), il commercio (120), l’industria manifatturiera (80) e l’agricoltura (60).</w:t>
      </w:r>
    </w:p>
    <w:p w14:paraId="52B5ECDB" w14:textId="0E0D9C96" w:rsidR="00FC0664" w:rsidRPr="00FC0664" w:rsidRDefault="00FC0664" w:rsidP="00FC0664">
      <w:pPr>
        <w:pStyle w:val="Datacomunicato"/>
        <w:jc w:val="both"/>
      </w:pPr>
      <w:r w:rsidRPr="00FC0664">
        <w:t xml:space="preserve">Tra le professioni, la maggiore domanda riguarda esercenti e addetti nelle attività di ristorazione, con </w:t>
      </w:r>
      <w:r w:rsidRPr="00FC0664">
        <w:rPr>
          <w:b/>
          <w:bCs/>
        </w:rPr>
        <w:t>190 posizioni</w:t>
      </w:r>
      <w:r w:rsidRPr="00FC0664">
        <w:t>. Particolarmente critica risulta invece la situazione nel settore dell’educazione</w:t>
      </w:r>
      <w:r w:rsidR="00530522">
        <w:t xml:space="preserve"> paritaria </w:t>
      </w:r>
      <w:r w:rsidR="00766170">
        <w:t>o</w:t>
      </w:r>
      <w:r w:rsidR="00530522">
        <w:t xml:space="preserve"> privata</w:t>
      </w:r>
      <w:r w:rsidRPr="00FC0664">
        <w:t xml:space="preserve">: quasi 9 ricerche su 10 per maestri di scuola primaria (89,4%) e il </w:t>
      </w:r>
      <w:r w:rsidRPr="00FC0664">
        <w:rPr>
          <w:b/>
          <w:bCs/>
        </w:rPr>
        <w:t>95% delle posizioni per educatori</w:t>
      </w:r>
      <w:r w:rsidRPr="00FC0664">
        <w:t xml:space="preserve"> risultano di difficile reperimento per la quasi totale assenza di candidati.</w:t>
      </w:r>
    </w:p>
    <w:p w14:paraId="284C660D" w14:textId="77777777" w:rsidR="00FC0664" w:rsidRPr="00FC0664" w:rsidRDefault="00FC0664" w:rsidP="00FC0664">
      <w:pPr>
        <w:pStyle w:val="Datacomunicato"/>
        <w:jc w:val="center"/>
        <w:rPr>
          <w:b/>
          <w:bCs/>
        </w:rPr>
      </w:pPr>
      <w:r w:rsidRPr="00FC0664">
        <w:rPr>
          <w:b/>
          <w:bCs/>
        </w:rPr>
        <w:t>Quasi un’assunzione su due è difficile da coprire</w:t>
      </w:r>
    </w:p>
    <w:p w14:paraId="15F3C80F" w14:textId="77777777" w:rsidR="00FC0664" w:rsidRPr="00FC0664" w:rsidRDefault="00FC0664" w:rsidP="00FC0664">
      <w:pPr>
        <w:pStyle w:val="Datacomunicato"/>
        <w:jc w:val="both"/>
      </w:pPr>
      <w:r w:rsidRPr="00FC0664">
        <w:t xml:space="preserve">Il </w:t>
      </w:r>
      <w:r w:rsidRPr="00FC0664">
        <w:rPr>
          <w:b/>
          <w:bCs/>
        </w:rPr>
        <w:t>48,9% delle entrate previste a settembre risulta di difficile reperimento</w:t>
      </w:r>
      <w:r w:rsidRPr="00FC0664">
        <w:t>: nel 29,8% dei casi per mancanza di candidati, nel 12,7% per preparazione inadeguata e nel 6,3% per altri motivi.</w:t>
      </w:r>
    </w:p>
    <w:p w14:paraId="444E97EE" w14:textId="77BB66D2" w:rsidR="00FC0664" w:rsidRPr="00FC0664" w:rsidRDefault="00C32C5C" w:rsidP="00FC0664">
      <w:pPr>
        <w:pStyle w:val="Datacomunicato"/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A43B669" wp14:editId="47EAE054">
            <wp:simplePos x="0" y="0"/>
            <wp:positionH relativeFrom="margin">
              <wp:posOffset>-775335</wp:posOffset>
            </wp:positionH>
            <wp:positionV relativeFrom="margin">
              <wp:posOffset>758190</wp:posOffset>
            </wp:positionV>
            <wp:extent cx="6937375" cy="4625340"/>
            <wp:effectExtent l="0" t="0" r="0" b="3810"/>
            <wp:wrapSquare wrapText="bothSides"/>
            <wp:docPr id="63494231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42312" name="Immagin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375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664" w:rsidRPr="00FC0664">
        <w:t xml:space="preserve">Il dato è in calo rispetto al 51,8% di settembre 2025 e al 52,2% di settembre 2024, ma resta superiore alla </w:t>
      </w:r>
      <w:r w:rsidR="00FC0664" w:rsidRPr="00FC0664">
        <w:rPr>
          <w:b/>
          <w:bCs/>
        </w:rPr>
        <w:t>media nazionale del 44,1%</w:t>
      </w:r>
      <w:r w:rsidR="00FC0664" w:rsidRPr="00FC0664">
        <w:t>, confermando una tensione occupazionale particolarmente elevata in Valle d’Aosta.</w:t>
      </w:r>
    </w:p>
    <w:p w14:paraId="16274CF2" w14:textId="48C9D133" w:rsidR="00FC0664" w:rsidRPr="00FC0664" w:rsidRDefault="00FC0664" w:rsidP="00FC0664">
      <w:pPr>
        <w:pStyle w:val="Datacomunicato"/>
        <w:jc w:val="both"/>
      </w:pPr>
      <w:r w:rsidRPr="00FC0664">
        <w:t xml:space="preserve">La lettura degli ultimi anni evidenzia inoltre come il mismatch abbia progressivamente assunto carattere strutturale. Dal 27% registrato nel luglio 2021 si è arrivati a superare la soglia del 50% nel 2022, fino al </w:t>
      </w:r>
      <w:r w:rsidRPr="00FC0664">
        <w:rPr>
          <w:b/>
          <w:bCs/>
        </w:rPr>
        <w:t>record del 55,3% raggiunto nel febbraio 2026</w:t>
      </w:r>
      <w:r w:rsidRPr="00FC0664">
        <w:t>. Il successivo rientro al 45,0% di luglio e al 48,9% di settembre indica una lieve attenuazione, ma su livelli ancora elevati.</w:t>
      </w:r>
    </w:p>
    <w:p w14:paraId="7CBF9E53" w14:textId="697380B9" w:rsidR="00FC0664" w:rsidRPr="00FC0664" w:rsidRDefault="00FC0664" w:rsidP="00FC0664">
      <w:pPr>
        <w:pStyle w:val="Datacomunicato"/>
        <w:jc w:val="both"/>
      </w:pPr>
      <w:r w:rsidRPr="00FC0664">
        <w:t xml:space="preserve">La situazione più critica riguarda gli specialisti dell’educazione e della formazione, </w:t>
      </w:r>
      <w:r w:rsidR="00530522">
        <w:t xml:space="preserve">paritaria o privata </w:t>
      </w:r>
      <w:r w:rsidRPr="00FC0664">
        <w:t xml:space="preserve">per i quali il tasso di difficile reperimento raggiunge il </w:t>
      </w:r>
      <w:r w:rsidRPr="00FC0664">
        <w:rPr>
          <w:b/>
          <w:bCs/>
        </w:rPr>
        <w:t>95%</w:t>
      </w:r>
      <w:r w:rsidRPr="00FC0664">
        <w:t>, il valore più alto registrato nel bollettino.</w:t>
      </w:r>
    </w:p>
    <w:p w14:paraId="5E29E21E" w14:textId="77777777" w:rsidR="00FC0664" w:rsidRPr="00FC0664" w:rsidRDefault="00FC0664" w:rsidP="00FC0664">
      <w:pPr>
        <w:pStyle w:val="Datacomunicato"/>
        <w:jc w:val="center"/>
        <w:rPr>
          <w:b/>
          <w:bCs/>
        </w:rPr>
      </w:pPr>
      <w:r w:rsidRPr="00FC0664">
        <w:rPr>
          <w:b/>
          <w:bCs/>
        </w:rPr>
        <w:t>Competenze, formazione e lavoro straniero</w:t>
      </w:r>
    </w:p>
    <w:p w14:paraId="07D47E6E" w14:textId="77777777" w:rsidR="00FC0664" w:rsidRPr="00FC0664" w:rsidRDefault="00FC0664" w:rsidP="00FC0664">
      <w:pPr>
        <w:pStyle w:val="Datacomunicato"/>
        <w:jc w:val="both"/>
      </w:pPr>
      <w:r w:rsidRPr="00FC0664">
        <w:t xml:space="preserve">Il confronto nazionale evidenzia alcune peculiarità nella composizione della domanda di lavoro valdostana. A settembre, dirigenti, specialisti e tecnici rappresentano il </w:t>
      </w:r>
      <w:r w:rsidRPr="00FC0664">
        <w:rPr>
          <w:b/>
          <w:bCs/>
        </w:rPr>
        <w:t>17,2% delle entrate</w:t>
      </w:r>
      <w:r w:rsidRPr="00FC0664">
        <w:t>, contro una quota nazionale superiore al 21%.</w:t>
      </w:r>
    </w:p>
    <w:p w14:paraId="7E02FA27" w14:textId="77777777" w:rsidR="00FC0664" w:rsidRPr="00FC0664" w:rsidRDefault="00FC0664" w:rsidP="00FC0664">
      <w:pPr>
        <w:pStyle w:val="Datacomunicato"/>
        <w:jc w:val="both"/>
      </w:pPr>
      <w:r w:rsidRPr="00FC0664">
        <w:t xml:space="preserve">Parallelamente, la Valle d’Aosta presenta una forte domanda di qualificati e diplomati IeFP, che raggiungono il </w:t>
      </w:r>
      <w:r w:rsidRPr="00FC0664">
        <w:rPr>
          <w:b/>
          <w:bCs/>
        </w:rPr>
        <w:t>38,6% delle entrate</w:t>
      </w:r>
      <w:r w:rsidRPr="00FC0664">
        <w:t>, quasi il doppio della media italiana, soprattutto per le esigenze di ristorazione, ricettività e artigianato edile. La richiesta di diplomati ITS Academy si ferma invece all’1,9%.</w:t>
      </w:r>
    </w:p>
    <w:p w14:paraId="5343B336" w14:textId="77777777" w:rsidR="00FC0664" w:rsidRPr="00FC0664" w:rsidRDefault="00FC0664" w:rsidP="00FC0664">
      <w:pPr>
        <w:pStyle w:val="Datacomunicato"/>
        <w:jc w:val="both"/>
      </w:pPr>
      <w:r w:rsidRPr="00FC0664">
        <w:lastRenderedPageBreak/>
        <w:t xml:space="preserve">Rilevante resta anche il contributo della manodopera straniera, che rappresenta il </w:t>
      </w:r>
      <w:r w:rsidRPr="00FC0664">
        <w:rPr>
          <w:b/>
          <w:bCs/>
        </w:rPr>
        <w:t>15,5% delle assunzioni previste a settembre</w:t>
      </w:r>
      <w:r w:rsidRPr="00FC0664">
        <w:t>, con un’incidenza che sale al 46,7% in agricoltura e al 33,6% nelle costruzioni.</w:t>
      </w:r>
    </w:p>
    <w:p w14:paraId="673F00FF" w14:textId="77777777" w:rsidR="00FC0664" w:rsidRPr="00FC0664" w:rsidRDefault="00FC0664" w:rsidP="00FC0664">
      <w:pPr>
        <w:pStyle w:val="Datacomunicato"/>
        <w:jc w:val="both"/>
      </w:pPr>
      <w:r w:rsidRPr="00FC0664">
        <w:t xml:space="preserve">Sul fronte contrattuale, il 20,5% delle entrate previste nel mese è a carattere stabile — tempo indeterminato o apprendistato — mentre il </w:t>
      </w:r>
      <w:r w:rsidRPr="00FC0664">
        <w:rPr>
          <w:b/>
          <w:bCs/>
        </w:rPr>
        <w:t>79,5% riguarda rapporti a termine</w:t>
      </w:r>
      <w:r w:rsidRPr="00FC0664">
        <w:t>, a conferma del forte peso della stagionalità sul mercato del lavoro regionale.</w:t>
      </w:r>
    </w:p>
    <w:p w14:paraId="7716236E" w14:textId="10D5F923" w:rsidR="00FC0664" w:rsidRPr="00FC0664" w:rsidRDefault="00FC0664" w:rsidP="00FC0664">
      <w:pPr>
        <w:pStyle w:val="Datacomunicato"/>
        <w:jc w:val="both"/>
      </w:pPr>
      <w:r>
        <w:t>“</w:t>
      </w:r>
      <w:r w:rsidRPr="00FC0664">
        <w:rPr>
          <w:i/>
          <w:iCs/>
        </w:rPr>
        <w:t>I dati di settembre restituiscono l’immagine di un mercato del lavoro valdostano dinamico, capace di crescere più della media nazionale, ma che porta con sé criticità ormai strutturali</w:t>
      </w:r>
      <w:r>
        <w:t xml:space="preserve"> - </w:t>
      </w:r>
      <w:r w:rsidRPr="00FC0664">
        <w:t xml:space="preserve">dichiara </w:t>
      </w:r>
      <w:r w:rsidRPr="00FC0664">
        <w:rPr>
          <w:b/>
          <w:bCs/>
        </w:rPr>
        <w:t>Roberto Sapia, Presidente della Chambre Valdôtaine</w:t>
      </w:r>
      <w:r w:rsidRPr="00FC0664">
        <w:t>.</w:t>
      </w:r>
      <w:r>
        <w:t xml:space="preserve">- </w:t>
      </w:r>
      <w:r w:rsidRPr="00FC0664">
        <w:rPr>
          <w:i/>
          <w:iCs/>
        </w:rPr>
        <w:t>Il passaggio dal 27% di mismatch del 2021 al record del 55,3% di febbraio di quest’anno dimostra come lo squilibrio tra domanda delle imprese e offerta di competenze non possa più essere considerato soltanto stagionale. Allo stesso tempo, dobbiamo prestare attenzione alla capacità del nostro sistema economico di offrire opportunità ai giovani più qualificati. Rafforzare i percorsi formativi e rispondere alla crescente necessità di manodopera, anche straniera e stagionale, sono quindi elementi centrali per la competitività futura del sistema valdostano</w:t>
      </w:r>
      <w:r>
        <w:t>”</w:t>
      </w:r>
      <w:r w:rsidRPr="00FC0664">
        <w:t>.</w:t>
      </w:r>
    </w:p>
    <w:p w14:paraId="5FFE6C0B" w14:textId="7AD91570" w:rsidR="0033039C" w:rsidRDefault="00000000" w:rsidP="0087358C">
      <w:pPr>
        <w:pStyle w:val="Datacomunicato"/>
        <w:jc w:val="right"/>
      </w:pPr>
      <w:r>
        <w:t xml:space="preserve">Aosta, </w:t>
      </w:r>
      <w:r w:rsidR="00530522">
        <w:t>23</w:t>
      </w:r>
      <w:r w:rsidR="00E05EF7">
        <w:t xml:space="preserve"> settembre </w:t>
      </w:r>
      <w:r w:rsidR="0087358C">
        <w:t>2026</w:t>
      </w:r>
    </w:p>
    <w:sectPr w:rsidR="0033039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6" w:right="1417" w:bottom="993" w:left="1701" w:header="0" w:footer="594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96861" w14:textId="77777777" w:rsidR="00D91EC6" w:rsidRDefault="00D91EC6">
      <w:r>
        <w:separator/>
      </w:r>
    </w:p>
  </w:endnote>
  <w:endnote w:type="continuationSeparator" w:id="0">
    <w:p w14:paraId="5B8A68A3" w14:textId="77777777" w:rsidR="00D91EC6" w:rsidRDefault="00D9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8" w:type="dxa"/>
      <w:jc w:val="center"/>
      <w:tblBorders>
        <w:top w:val="single" w:sz="4" w:space="2" w:color="B7B7B7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644"/>
      <w:gridCol w:w="4644"/>
    </w:tblGrid>
    <w:tr w:rsidR="0033039C" w14:paraId="6364F32D" w14:textId="77777777" w:rsidTr="00E05EF7">
      <w:trPr>
        <w:jc w:val="center"/>
      </w:trPr>
      <w:tc>
        <w:tcPr>
          <w:tcW w:w="4644" w:type="dxa"/>
          <w:tcMar>
            <w:top w:w="45" w:type="dxa"/>
            <w:left w:w="0" w:type="dxa"/>
            <w:bottom w:w="0" w:type="dxa"/>
            <w:right w:w="0" w:type="dxa"/>
          </w:tcMar>
          <w:vAlign w:val="center"/>
        </w:tcPr>
        <w:p w14:paraId="37DFEBB4" w14:textId="77777777" w:rsidR="0033039C" w:rsidRDefault="00000000">
          <w:r>
            <w:rPr>
              <w:rFonts w:ascii="Arial" w:hAnsi="Arial"/>
              <w:sz w:val="16"/>
            </w:rPr>
            <w:t>Chambre Valdôtaine | Ufficio Stampa</w:t>
          </w:r>
        </w:p>
      </w:tc>
      <w:tc>
        <w:tcPr>
          <w:tcW w:w="4644" w:type="dxa"/>
          <w:tcMar>
            <w:top w:w="45" w:type="dxa"/>
            <w:left w:w="0" w:type="dxa"/>
            <w:bottom w:w="0" w:type="dxa"/>
            <w:right w:w="0" w:type="dxa"/>
          </w:tcMar>
          <w:vAlign w:val="center"/>
        </w:tcPr>
        <w:p w14:paraId="24621FA6" w14:textId="04DC9AD3" w:rsidR="0033039C" w:rsidRDefault="00000000">
          <w:pPr>
            <w:jc w:val="right"/>
          </w:pPr>
          <w:r>
            <w:rPr>
              <w:rFonts w:ascii="Arial" w:hAnsi="Arial"/>
              <w:sz w:val="16"/>
            </w:rPr>
            <w:fldChar w:fldCharType="begin"/>
          </w:r>
          <w:r>
            <w:rPr>
              <w:rFonts w:ascii="Arial" w:hAnsi="Arial"/>
              <w:sz w:val="16"/>
            </w:rPr>
            <w:instrText xml:space="preserve"> PAGE </w:instrText>
          </w:r>
          <w:r>
            <w:rPr>
              <w:rFonts w:ascii="Arial" w:hAnsi="Arial"/>
              <w:sz w:val="16"/>
            </w:rPr>
            <w:fldChar w:fldCharType="separate"/>
          </w:r>
          <w:r w:rsidR="00FC0664">
            <w:rPr>
              <w:rFonts w:ascii="Arial" w:hAnsi="Arial"/>
              <w:noProof/>
              <w:sz w:val="16"/>
            </w:rPr>
            <w:t>2</w:t>
          </w:r>
          <w:r>
            <w:rPr>
              <w:rFonts w:ascii="Arial" w:hAnsi="Arial"/>
              <w:sz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85AB" w14:textId="77777777" w:rsidR="00946A8D" w:rsidRDefault="00000000">
    <w:pPr>
      <w:pStyle w:val="Intestazione"/>
      <w:pBdr>
        <w:top w:val="single" w:sz="4" w:space="2" w:color="B7B7B7"/>
      </w:pBdr>
      <w:tabs>
        <w:tab w:val="left" w:pos="1985"/>
        <w:tab w:val="left" w:pos="5387"/>
      </w:tabs>
      <w:spacing w:after="20"/>
    </w:pPr>
    <w:r>
      <w:rPr>
        <w:noProof/>
      </w:rPr>
      <mc:AlternateContent>
        <mc:Choice Requires="wpg">
          <w:drawing>
            <wp:anchor distT="0" distB="0" distL="0" distR="0" simplePos="0" relativeHeight="16" behindDoc="1" locked="0" layoutInCell="0" allowOverlap="1" wp14:anchorId="0E845BC3" wp14:editId="7D266E3A">
              <wp:simplePos x="0" y="0"/>
              <wp:positionH relativeFrom="page">
                <wp:posOffset>879475</wp:posOffset>
              </wp:positionH>
              <wp:positionV relativeFrom="page">
                <wp:posOffset>9650730</wp:posOffset>
              </wp:positionV>
              <wp:extent cx="722630" cy="502920"/>
              <wp:effectExtent l="0" t="0" r="0" b="0"/>
              <wp:wrapNone/>
              <wp:docPr id="11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2520" cy="502920"/>
                        <a:chOff x="0" y="0"/>
                        <a:chExt cx="722520" cy="502920"/>
                      </a:xfrm>
                    </wpg:grpSpPr>
                    <wps:wsp>
                      <wps:cNvPr id="12" name="Rectangle 3"/>
                      <wps:cNvSpPr/>
                      <wps:spPr>
                        <a:xfrm>
                          <a:off x="0" y="0"/>
                          <a:ext cx="72252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" name="Picture 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720"/>
                          <a:ext cx="722160" cy="502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pic="http://schemas.openxmlformats.org/drawingml/2006/picture">
          <w:pict>
            <v:group id="shape_0" alt="Gruppo 6" style="position:absolute;margin-left:69.25pt;margin-top:759.9pt;width:56.9pt;height:39.6pt" coordorigin="1385,15198" coordsize="1138,792">
              <v:rect id="shape_0" fillcolor="white" stroked="f" o:allowincell="f" style="position:absolute;left:1385;top:15198;width:1137;height:791;mso-wrap-style:none;v-text-anchor:middle;mso-position-horizontal-relative:page;mso-position-vertical-relative:page">
                <v:fill o:detectmouseclick="t" type="solid" color2="black"/>
                <v:stroke color="#3465a4" joinstyle="round" endcap="flat"/>
                <w10:wrap type="none"/>
              </v:rect>
              <v:shape id="shape_0" stroked="f" o:allowincell="f" style="position:absolute;left:1385;top:15199;width:1136;height:790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  <w:p w14:paraId="7ABECDA7" w14:textId="77777777" w:rsidR="0033039C" w:rsidRDefault="00000000">
    <w:pPr>
      <w:jc w:val="center"/>
    </w:pPr>
    <w:r>
      <w:rPr>
        <w:rFonts w:ascii="Arial" w:hAnsi="Arial"/>
        <w:b/>
        <w:sz w:val="16"/>
      </w:rPr>
      <w:t>Segreteria Generale  |  Ufficio Stampa</w:t>
    </w:r>
  </w:p>
  <w:p w14:paraId="04E48C63" w14:textId="77777777" w:rsidR="0033039C" w:rsidRDefault="00000000">
    <w:pPr>
      <w:jc w:val="center"/>
    </w:pPr>
    <w:r>
      <w:rPr>
        <w:rFonts w:ascii="Arial" w:hAnsi="Arial"/>
        <w:sz w:val="16"/>
      </w:rPr>
      <w:t>Regione Borgnalle, 12 - 11100 Aosta</w:t>
    </w:r>
  </w:p>
  <w:p w14:paraId="4EEA6A3C" w14:textId="77777777" w:rsidR="0033039C" w:rsidRDefault="00000000">
    <w:pPr>
      <w:jc w:val="center"/>
    </w:pPr>
    <w:r>
      <w:rPr>
        <w:rFonts w:ascii="Arial" w:hAnsi="Arial"/>
        <w:sz w:val="16"/>
      </w:rPr>
      <w:t>Tel. +39 0165 573065</w:t>
    </w:r>
  </w:p>
  <w:p w14:paraId="11FA6973" w14:textId="77777777" w:rsidR="0033039C" w:rsidRDefault="00000000">
    <w:pPr>
      <w:jc w:val="center"/>
    </w:pPr>
    <w:r>
      <w:rPr>
        <w:rFonts w:ascii="Arial" w:hAnsi="Arial"/>
        <w:sz w:val="16"/>
      </w:rPr>
      <w:t>fabrizio.perosillo@ao.camcom.it</w:t>
    </w:r>
  </w:p>
  <w:p w14:paraId="4EAC1899" w14:textId="77777777" w:rsidR="0033039C" w:rsidRDefault="00000000">
    <w:pPr>
      <w:jc w:val="center"/>
    </w:pPr>
    <w:r>
      <w:rPr>
        <w:rFonts w:ascii="Arial" w:hAnsi="Arial"/>
        <w:sz w:val="16"/>
      </w:rPr>
      <w:t>www.ao.camcom.it</w:t>
    </w: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892"/>
      <w:gridCol w:w="259"/>
      <w:gridCol w:w="792"/>
      <w:gridCol w:w="230"/>
      <w:gridCol w:w="259"/>
      <w:gridCol w:w="316"/>
      <w:gridCol w:w="835"/>
      <w:gridCol w:w="259"/>
      <w:gridCol w:w="835"/>
      <w:gridCol w:w="259"/>
      <w:gridCol w:w="892"/>
    </w:tblGrid>
    <w:tr w:rsidR="0033039C" w14:paraId="37567B83" w14:textId="77777777">
      <w:trPr>
        <w:jc w:val="center"/>
      </w:trPr>
      <w:tc>
        <w:tcPr>
          <w:tcW w:w="892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3B388BC9" w14:textId="77777777" w:rsidR="0033039C" w:rsidRDefault="00000000">
          <w:pPr>
            <w:jc w:val="center"/>
          </w:pPr>
          <w:r>
            <w:rPr>
              <w:rFonts w:ascii="Arial" w:hAnsi="Arial"/>
              <w:sz w:val="16"/>
            </w:rPr>
            <w:t>Seguici su</w:t>
          </w:r>
        </w:p>
      </w:tc>
      <w:tc>
        <w:tcPr>
          <w:tcW w:w="259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03576E92" w14:textId="77777777" w:rsidR="0033039C" w:rsidRDefault="0033039C">
          <w:pPr>
            <w:jc w:val="center"/>
          </w:pPr>
          <w:hyperlink r:id="rId3">
            <w:r>
              <w:rPr>
                <w:noProof/>
              </w:rPr>
              <w:drawing>
                <wp:inline distT="0" distB="0" distL="0" distR="0" wp14:anchorId="49BB31FC" wp14:editId="2D795B1A">
                  <wp:extent cx="137160" cy="13716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792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4C3994A1" w14:textId="77777777" w:rsidR="0033039C" w:rsidRDefault="0033039C">
          <w:pPr>
            <w:jc w:val="center"/>
          </w:pPr>
          <w:hyperlink r:id="rId5">
            <w:r>
              <w:rPr>
                <w:rFonts w:ascii="Arial" w:hAnsi="Arial"/>
                <w:sz w:val="16"/>
              </w:rPr>
              <w:t>LinkedIn</w:t>
            </w:r>
          </w:hyperlink>
        </w:p>
      </w:tc>
      <w:tc>
        <w:tcPr>
          <w:tcW w:w="230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5807CA2A" w14:textId="77777777" w:rsidR="0033039C" w:rsidRDefault="0033039C">
          <w:pPr>
            <w:jc w:val="center"/>
          </w:pPr>
          <w:hyperlink r:id="rId6">
            <w:r>
              <w:rPr>
                <w:noProof/>
              </w:rPr>
              <w:drawing>
                <wp:inline distT="0" distB="0" distL="0" distR="0" wp14:anchorId="23A8C405" wp14:editId="1C74C9E9">
                  <wp:extent cx="137160" cy="13716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icon_recognizabl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259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3DE399C1" w14:textId="77777777" w:rsidR="0033039C" w:rsidRDefault="0033039C">
          <w:pPr>
            <w:jc w:val="center"/>
          </w:pPr>
          <w:hyperlink r:id="rId8">
            <w:r>
              <w:rPr>
                <w:rFonts w:ascii="Arial" w:hAnsi="Arial"/>
                <w:sz w:val="16"/>
              </w:rPr>
              <w:t>X</w:t>
            </w:r>
          </w:hyperlink>
        </w:p>
      </w:tc>
      <w:tc>
        <w:tcPr>
          <w:tcW w:w="316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5F8E5B8D" w14:textId="77777777" w:rsidR="0033039C" w:rsidRDefault="0033039C">
          <w:pPr>
            <w:jc w:val="center"/>
          </w:pPr>
          <w:hyperlink r:id="rId9">
            <w:r>
              <w:rPr>
                <w:noProof/>
              </w:rPr>
              <w:drawing>
                <wp:inline distT="0" distB="0" distL="0" distR="0" wp14:anchorId="4772BE2B" wp14:editId="17F65F40">
                  <wp:extent cx="164592" cy="13167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31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835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735B1346" w14:textId="77777777" w:rsidR="0033039C" w:rsidRDefault="0033039C">
          <w:pPr>
            <w:jc w:val="center"/>
          </w:pPr>
          <w:hyperlink r:id="rId11">
            <w:r>
              <w:rPr>
                <w:rFonts w:ascii="Arial" w:hAnsi="Arial"/>
                <w:sz w:val="16"/>
              </w:rPr>
              <w:t>YouTube</w:t>
            </w:r>
          </w:hyperlink>
        </w:p>
      </w:tc>
      <w:tc>
        <w:tcPr>
          <w:tcW w:w="259" w:type="dxa"/>
          <w:tcMar>
            <w:left w:w="5" w:type="dxa"/>
            <w:right w:w="5" w:type="dxa"/>
          </w:tcMar>
          <w:vAlign w:val="center"/>
        </w:tcPr>
        <w:p w14:paraId="07FF6995" w14:textId="77777777" w:rsidR="00A55C7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6A10C1C6" wp14:editId="1FE6A9E4">
                <wp:extent cx="137160" cy="137160"/>
                <wp:effectExtent l="0" t="0" r="0" b="0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b_icon.png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" w:type="dxa"/>
          <w:tcMar>
            <w:left w:w="5" w:type="dxa"/>
            <w:right w:w="5" w:type="dxa"/>
          </w:tcMar>
          <w:vAlign w:val="center"/>
        </w:tcPr>
        <w:p w14:paraId="6C82240F" w14:textId="77777777" w:rsidR="00A55C7C" w:rsidRDefault="00000000">
          <w:pPr>
            <w:jc w:val="center"/>
          </w:pPr>
          <w:r>
            <w:rPr>
              <w:rFonts w:ascii="Arial" w:hAnsi="Arial"/>
              <w:sz w:val="16"/>
            </w:rPr>
            <w:t>Facebook</w:t>
          </w:r>
        </w:p>
      </w:tc>
      <w:tc>
        <w:tcPr>
          <w:tcW w:w="259" w:type="dxa"/>
          <w:tcMar>
            <w:left w:w="5" w:type="dxa"/>
            <w:right w:w="5" w:type="dxa"/>
          </w:tcMar>
          <w:vAlign w:val="center"/>
        </w:tcPr>
        <w:p w14:paraId="57AE56B9" w14:textId="77777777" w:rsidR="00A55C7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6F1044F3" wp14:editId="5E321629">
                <wp:extent cx="137160" cy="137160"/>
                <wp:effectExtent l="0" t="0" r="0" b="0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g_icon.png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" w:type="dxa"/>
          <w:tcMar>
            <w:left w:w="5" w:type="dxa"/>
            <w:right w:w="5" w:type="dxa"/>
          </w:tcMar>
          <w:vAlign w:val="center"/>
        </w:tcPr>
        <w:p w14:paraId="5641DA09" w14:textId="77777777" w:rsidR="00A55C7C" w:rsidRDefault="00000000">
          <w:pPr>
            <w:jc w:val="center"/>
          </w:pPr>
          <w:r>
            <w:rPr>
              <w:rFonts w:ascii="Arial" w:hAnsi="Arial"/>
              <w:sz w:val="16"/>
            </w:rPr>
            <w:t>Instagram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EE5A" w14:textId="77777777" w:rsidR="00D91EC6" w:rsidRDefault="00D91EC6">
      <w:r>
        <w:separator/>
      </w:r>
    </w:p>
  </w:footnote>
  <w:footnote w:type="continuationSeparator" w:id="0">
    <w:p w14:paraId="6040C758" w14:textId="77777777" w:rsidR="00D91EC6" w:rsidRDefault="00D91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D955" w14:textId="77777777" w:rsidR="00946A8D" w:rsidRDefault="00946A8D"/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644"/>
      <w:gridCol w:w="4644"/>
    </w:tblGrid>
    <w:tr w:rsidR="0033039C" w14:paraId="2DC36832" w14:textId="77777777">
      <w:trPr>
        <w:jc w:val="center"/>
      </w:trPr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1853FF6" w14:textId="77777777" w:rsidR="0033039C" w:rsidRDefault="00000000">
          <w:pPr>
            <w:spacing w:after="40"/>
          </w:pPr>
          <w:r>
            <w:rPr>
              <w:noProof/>
            </w:rPr>
            <w:drawing>
              <wp:inline distT="0" distB="0" distL="0" distR="0" wp14:anchorId="4603C69A" wp14:editId="19E6E3BB">
                <wp:extent cx="2148840" cy="54363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8840" cy="543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FF38F0B" w14:textId="77777777" w:rsidR="0033039C" w:rsidRDefault="00000000">
          <w:pPr>
            <w:spacing w:after="40"/>
            <w:jc w:val="right"/>
          </w:pPr>
          <w:r>
            <w:rPr>
              <w:rFonts w:ascii="Arial" w:hAnsi="Arial"/>
              <w:b/>
              <w:sz w:val="16"/>
            </w:rPr>
            <w:t>COMUNICATO STAMPA</w:t>
          </w:r>
        </w:p>
      </w:tc>
    </w:tr>
    <w:tr w:rsidR="0033039C" w14:paraId="46C32CFD" w14:textId="77777777">
      <w:trPr>
        <w:jc w:val="center"/>
      </w:trPr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C811FC7" w14:textId="77777777" w:rsidR="0033039C" w:rsidRDefault="0033039C"/>
      </w:tc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0ACF86C" w14:textId="77777777" w:rsidR="0033039C" w:rsidRDefault="0033039C"/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9C78" w14:textId="77777777" w:rsidR="00946A8D" w:rsidRDefault="00000000">
    <w:pPr>
      <w:pStyle w:val="Intestazione"/>
      <w:tabs>
        <w:tab w:val="left" w:pos="1985"/>
        <w:tab w:val="left" w:pos="5670"/>
      </w:tabs>
    </w:pPr>
    <w:r>
      <w:rPr>
        <w:noProof/>
      </w:rPr>
      <mc:AlternateContent>
        <mc:Choice Requires="wps">
          <w:drawing>
            <wp:anchor distT="0" distB="0" distL="0" distR="0" simplePos="0" relativeHeight="12" behindDoc="1" locked="0" layoutInCell="0" allowOverlap="1" wp14:anchorId="11CD9ECE" wp14:editId="766598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6" name="Rettangolo con angoli arrotondati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0693440"/>
                      </a:xfrm>
                      <a:prstGeom prst="roundRect">
                        <a:avLst>
                          <a:gd name="adj" fmla="val 20000"/>
                        </a:avLst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pic="http://schemas.openxmlformats.org/drawingml/2006/picture">
          <w:pict>
            <v:roundrect id="shape_0" fillcolor="white" stroked="f" o:allowincell="f" style="position:absolute;margin-left:0pt;margin-top:0pt;width:594.95pt;height:841.95pt;mso-wrap-style:none;v-text-anchor:middle;mso-position-horizontal-relative:page;mso-position-vertical-relative:page" wp14:anchorId="11CD9ECE">
              <v:fill o:detectmouseclick="t" type="solid" color2="black"/>
              <v:stroke color="#3465a4" joinstyle="round" endcap="flat"/>
              <w10:wrap type="none"/>
            </v:roundrect>
          </w:pict>
        </mc:Fallback>
      </mc:AlternateContent>
    </w:r>
  </w:p>
  <w:p w14:paraId="57C46A5B" w14:textId="77777777" w:rsidR="00946A8D" w:rsidRDefault="00000000">
    <w:pPr>
      <w:pStyle w:val="Intestazione"/>
      <w:tabs>
        <w:tab w:val="left" w:pos="5670"/>
      </w:tabs>
    </w:pPr>
    <w:r>
      <w:rPr>
        <w:rStyle w:val="Nessuno"/>
      </w:rPr>
      <w:tab/>
    </w:r>
  </w:p>
  <w:p w14:paraId="2530F8D5" w14:textId="77777777" w:rsidR="00946A8D" w:rsidRDefault="00946A8D">
    <w:pPr>
      <w:pStyle w:val="Intestazione"/>
      <w:tabs>
        <w:tab w:val="left" w:pos="5670"/>
      </w:tabs>
    </w:pPr>
  </w:p>
  <w:p w14:paraId="62C6B9B3" w14:textId="77777777" w:rsidR="00946A8D" w:rsidRDefault="00000000">
    <w:pPr>
      <w:pStyle w:val="Intestazione"/>
      <w:tabs>
        <w:tab w:val="left" w:pos="5670"/>
      </w:tabs>
    </w:pPr>
    <w:r>
      <w:rPr>
        <w:noProof/>
      </w:rPr>
      <w:drawing>
        <wp:inline distT="0" distB="0" distL="0" distR="0" wp14:anchorId="32866D82" wp14:editId="6A23DEC7">
          <wp:extent cx="5220335" cy="1320800"/>
          <wp:effectExtent l="0" t="0" r="0" b="0"/>
          <wp:docPr id="7" name="Immagine2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2" descr="imag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20335" cy="132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8D"/>
    <w:rsid w:val="000A21A7"/>
    <w:rsid w:val="000E4CC6"/>
    <w:rsid w:val="000F687A"/>
    <w:rsid w:val="0018008B"/>
    <w:rsid w:val="002554B0"/>
    <w:rsid w:val="002816B2"/>
    <w:rsid w:val="002861E2"/>
    <w:rsid w:val="0029677D"/>
    <w:rsid w:val="003035B0"/>
    <w:rsid w:val="0033039C"/>
    <w:rsid w:val="0033454B"/>
    <w:rsid w:val="00335905"/>
    <w:rsid w:val="004029B7"/>
    <w:rsid w:val="00494812"/>
    <w:rsid w:val="004B7C26"/>
    <w:rsid w:val="00503F3B"/>
    <w:rsid w:val="00530522"/>
    <w:rsid w:val="005A04EE"/>
    <w:rsid w:val="005A252F"/>
    <w:rsid w:val="006C7E8E"/>
    <w:rsid w:val="00765974"/>
    <w:rsid w:val="00766170"/>
    <w:rsid w:val="007C0874"/>
    <w:rsid w:val="007E08D1"/>
    <w:rsid w:val="0087358C"/>
    <w:rsid w:val="008B2576"/>
    <w:rsid w:val="00946A8D"/>
    <w:rsid w:val="00995639"/>
    <w:rsid w:val="009B6D10"/>
    <w:rsid w:val="00A30F5F"/>
    <w:rsid w:val="00A55C7C"/>
    <w:rsid w:val="00A92465"/>
    <w:rsid w:val="00BE387D"/>
    <w:rsid w:val="00C32C5C"/>
    <w:rsid w:val="00C52E90"/>
    <w:rsid w:val="00C932E7"/>
    <w:rsid w:val="00D13E7C"/>
    <w:rsid w:val="00D219CA"/>
    <w:rsid w:val="00D91EC6"/>
    <w:rsid w:val="00E05EF7"/>
    <w:rsid w:val="00EC5A87"/>
    <w:rsid w:val="00FC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4C28"/>
  <w15:docId w15:val="{FCB341D3-F35E-4689-A8EF-DDFE5B11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5D3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65D3"/>
    <w:rPr>
      <w:u w:val="single"/>
    </w:rPr>
  </w:style>
  <w:style w:type="character" w:customStyle="1" w:styleId="Nessuno">
    <w:name w:val="Nessuno"/>
    <w:qFormat/>
    <w:rsid w:val="000E65D3"/>
  </w:style>
  <w:style w:type="character" w:customStyle="1" w:styleId="Hyperlink0">
    <w:name w:val="Hyperlink.0"/>
    <w:basedOn w:val="Nessuno"/>
    <w:qFormat/>
    <w:rsid w:val="000E65D3"/>
    <w:rPr>
      <w:rFonts w:ascii="Arial" w:eastAsia="Arial" w:hAnsi="Arial" w:cs="Arial"/>
      <w:color w:val="0000FF"/>
      <w:sz w:val="16"/>
      <w:szCs w:val="16"/>
      <w:u w:val="single" w:color="0000FF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60349"/>
    <w:rPr>
      <w:rFonts w:ascii="Tahoma" w:hAnsi="Tahoma" w:cs="Tahoma"/>
      <w:color w:val="000000"/>
      <w:sz w:val="16"/>
      <w:szCs w:val="16"/>
      <w:u w:val="none" w:color="00000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qFormat/>
    <w:rsid w:val="000E65D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Intestazioneepidipaginauser">
    <w:name w:val="Intestazione e piè di pagina (user)"/>
    <w:basedOn w:val="Normale"/>
    <w:qFormat/>
  </w:style>
  <w:style w:type="paragraph" w:styleId="Pidipagina">
    <w:name w:val="footer"/>
    <w:rsid w:val="000E65D3"/>
    <w:rPr>
      <w:rFonts w:cs="Arial Unicode MS"/>
      <w:color w:val="000000"/>
      <w:u w:color="000000"/>
    </w:rPr>
  </w:style>
  <w:style w:type="paragraph" w:styleId="Intestazione">
    <w:name w:val="header"/>
    <w:rsid w:val="000E65D3"/>
    <w:rPr>
      <w:rFonts w:cs="Arial Unicode MS"/>
      <w:color w:val="000000"/>
      <w:u w:color="000000"/>
    </w:rPr>
  </w:style>
  <w:style w:type="paragraph" w:customStyle="1" w:styleId="Titolo1">
    <w:name w:val="Titolo1"/>
    <w:next w:val="Normale"/>
    <w:qFormat/>
    <w:rsid w:val="000E65D3"/>
    <w:pPr>
      <w:spacing w:before="240" w:after="60"/>
      <w:jc w:val="center"/>
    </w:pPr>
    <w:rPr>
      <w:rFonts w:ascii="Cambria" w:hAnsi="Cambria" w:cs="Arial Unicode MS"/>
      <w:b/>
      <w:bCs/>
      <w:color w:val="000000"/>
      <w:kern w:val="2"/>
      <w:sz w:val="32"/>
      <w:szCs w:val="32"/>
      <w:u w:color="000000"/>
    </w:rPr>
  </w:style>
  <w:style w:type="paragraph" w:customStyle="1" w:styleId="Stiletabella2">
    <w:name w:val="Stile tabella 2"/>
    <w:qFormat/>
    <w:rsid w:val="000E65D3"/>
    <w:rPr>
      <w:rFonts w:ascii="Helvetica Neue" w:eastAsia="Helvetica Neue" w:hAnsi="Helvetica Neue" w:cs="Helvetica Neue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6034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qFormat/>
    <w:rsid w:val="007060BA"/>
    <w:rPr>
      <w:rFonts w:cs="Times New Roman"/>
      <w:sz w:val="24"/>
      <w:szCs w:val="24"/>
    </w:rPr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 Normal"/>
    <w:rsid w:val="000E65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comunicato">
    <w:name w:val="Titolo comunicato"/>
    <w:basedOn w:val="Normale"/>
    <w:pPr>
      <w:spacing w:after="120"/>
    </w:pPr>
    <w:rPr>
      <w:rFonts w:ascii="Arial" w:hAnsi="Arial"/>
      <w:b/>
      <w:color w:val="FF0000"/>
      <w:sz w:val="48"/>
    </w:rPr>
  </w:style>
  <w:style w:type="paragraph" w:customStyle="1" w:styleId="Titolonotizia">
    <w:name w:val="Titolo notizia"/>
    <w:basedOn w:val="Normale"/>
    <w:pPr>
      <w:spacing w:after="360" w:line="252" w:lineRule="auto"/>
    </w:pPr>
    <w:rPr>
      <w:rFonts w:ascii="Arial" w:hAnsi="Arial"/>
      <w:b/>
      <w:sz w:val="36"/>
    </w:rPr>
  </w:style>
  <w:style w:type="paragraph" w:customStyle="1" w:styleId="Corpocomunicato">
    <w:name w:val="Corpo comunicato"/>
    <w:basedOn w:val="Normale"/>
    <w:pPr>
      <w:spacing w:after="120" w:line="276" w:lineRule="auto"/>
    </w:pPr>
    <w:rPr>
      <w:rFonts w:ascii="Arial" w:hAnsi="Arial"/>
      <w:sz w:val="24"/>
    </w:rPr>
  </w:style>
  <w:style w:type="paragraph" w:customStyle="1" w:styleId="Datacomunicato">
    <w:name w:val="Data comunicato"/>
    <w:basedOn w:val="Normale"/>
    <w:pPr>
      <w:spacing w:before="240" w:after="120"/>
    </w:pPr>
    <w:rPr>
      <w:rFonts w:ascii="Arial" w:hAnsi="Arial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3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camcomao" TargetMode="External"/><Relationship Id="rId13" Type="http://schemas.openxmlformats.org/officeDocument/2006/relationships/image" Target="media/image10.png"/><Relationship Id="rId3" Type="http://schemas.openxmlformats.org/officeDocument/2006/relationships/hyperlink" Target="https://www.linkedin.com/company/chambre-valdotaine/" TargetMode="External"/><Relationship Id="rId7" Type="http://schemas.openxmlformats.org/officeDocument/2006/relationships/image" Target="media/image7.png"/><Relationship Id="rId12" Type="http://schemas.openxmlformats.org/officeDocument/2006/relationships/image" Target="media/image9.png"/><Relationship Id="rId2" Type="http://schemas.openxmlformats.org/officeDocument/2006/relationships/image" Target="media/image50.png"/><Relationship Id="rId1" Type="http://schemas.openxmlformats.org/officeDocument/2006/relationships/image" Target="media/image5.png"/><Relationship Id="rId6" Type="http://schemas.openxmlformats.org/officeDocument/2006/relationships/hyperlink" Target="https://x.com/camcomao" TargetMode="External"/><Relationship Id="rId11" Type="http://schemas.openxmlformats.org/officeDocument/2006/relationships/hyperlink" Target="https://www.youtube.com/@ChambreValdotaine-Spin2" TargetMode="External"/><Relationship Id="rId5" Type="http://schemas.openxmlformats.org/officeDocument/2006/relationships/hyperlink" Target="https://www.linkedin.com/company/chambre-valdotaine/" TargetMode="External"/><Relationship Id="rId10" Type="http://schemas.openxmlformats.org/officeDocument/2006/relationships/image" Target="media/image8.png"/><Relationship Id="rId4" Type="http://schemas.openxmlformats.org/officeDocument/2006/relationships/image" Target="media/image6.png"/><Relationship Id="rId9" Type="http://schemas.openxmlformats.org/officeDocument/2006/relationships/hyperlink" Target="https://www.youtube.com/@ChambreValdotaine-Spin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6B82E-A6FB-4AB9-86E6-42C1469C2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comunicato stampa - Chambre Valdôtaine</vt:lpstr>
    </vt:vector>
  </TitlesOfParts>
  <Company>CCIAA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comunicato stampa - Chambre Valdôtaine</dc:title>
  <dc:subject>Modello Word per comunicati stampa</dc:subject>
  <dc:creator>Fabrizio Perosillo</dc:creator>
  <dc:description/>
  <cp:lastModifiedBy>Fabrizio Perosillo</cp:lastModifiedBy>
  <cp:revision>7</cp:revision>
  <cp:lastPrinted>2026-01-28T09:45:00Z</cp:lastPrinted>
  <dcterms:created xsi:type="dcterms:W3CDTF">2026-09-16T10:31:00Z</dcterms:created>
  <dcterms:modified xsi:type="dcterms:W3CDTF">2026-09-23T07:46:00Z</dcterms:modified>
  <dc:language>it-IT</dc:language>
</cp:coreProperties>
</file>