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header3.xml" ContentType="application/vnd.openxmlformats-officedocument.wordprocessingml.header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itolo1"/>
        <w:spacing w:before="240" w:after="60"/>
        <w:rPr>
          <w:rStyle w:val="Nessuno"/>
        </w:rPr>
      </w:pPr>
      <w:r>
        <w:rPr>
          <w:rStyle w:val="Nessuno"/>
          <w:color w:val="FF0000"/>
          <w:sz w:val="48"/>
          <w:szCs w:val="48"/>
          <w:u w:val="none" w:color="FF0000"/>
        </w:rPr>
        <w:t>COMUNICATO STAMPA</w:t>
      </w:r>
    </w:p>
    <w:p>
      <w:pPr>
        <w:pStyle w:val="Titolo1"/>
        <w:rPr>
          <w:rStyle w:val="Nessuno"/>
          <w:rFonts w:ascii="Arial" w:hAnsi="Arial" w:eastAsia="Arial" w:cs="Arial"/>
          <w:sz w:val="36"/>
          <w:szCs w:val="36"/>
        </w:rPr>
      </w:pPr>
      <w:r>
        <w:rPr>
          <w:rStyle w:val="Nessuno"/>
          <w:rFonts w:ascii="Arial" w:hAnsi="Arial"/>
          <w:sz w:val="36"/>
          <w:szCs w:val="36"/>
        </w:rPr>
        <w:t xml:space="preserve">Imprese Valle d’Aosta: nel I trimestre 2026 </w:t>
        <w:br/>
        <w:t xml:space="preserve">saldo negativo dimezzato mentre </w:t>
        <w:br/>
        <w:t>cresce la dinamica delle aperture</w:t>
      </w:r>
    </w:p>
    <w:p>
      <w:pPr>
        <w:pStyle w:val="Normal"/>
        <w:spacing w:lineRule="auto" w:line="360"/>
        <w:jc w:val="both"/>
        <w:rPr>
          <w:rStyle w:val="Nessuno"/>
          <w:rFonts w:ascii="Arial" w:hAnsi="Arial" w:eastAsia="Arial" w:cs="Arial"/>
          <w:sz w:val="24"/>
          <w:szCs w:val="24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"/>
        <w:spacing w:before="0" w:after="12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Meno imprese, ma segnali concreti di stabilizzazione e una trasformazione ormai evidente del tessuto economico. È questa la fotografia che emerge dall’analisi dei dati del Registro delle Imprese relativi al primo trimestre 2026, elaborati dalla Chambre valdôtaine.</w:t>
      </w:r>
    </w:p>
    <w:p>
      <w:pPr>
        <w:pStyle w:val="Normal"/>
        <w:spacing w:before="0" w:after="12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Al 31 marzo 2026 le imprese registrate in Valle d’Aosta sono </w:t>
      </w:r>
      <w:r>
        <w:rPr>
          <w:rFonts w:ascii="Arial" w:hAnsi="Arial"/>
          <w:b/>
          <w:bCs/>
          <w:sz w:val="24"/>
          <w:szCs w:val="24"/>
        </w:rPr>
        <w:t>11.944</w:t>
      </w:r>
      <w:r>
        <w:rPr>
          <w:rFonts w:ascii="Arial" w:hAnsi="Arial"/>
          <w:sz w:val="24"/>
          <w:szCs w:val="24"/>
        </w:rPr>
        <w:t xml:space="preserve">, con un saldo leggermente negativo di </w:t>
      </w:r>
      <w:r>
        <w:rPr>
          <w:rFonts w:ascii="Arial" w:hAnsi="Arial"/>
          <w:b/>
          <w:bCs/>
          <w:sz w:val="24"/>
          <w:szCs w:val="24"/>
        </w:rPr>
        <w:t xml:space="preserve">-13 unità </w:t>
      </w:r>
      <w:r>
        <w:rPr>
          <w:rFonts w:ascii="Arial" w:hAnsi="Arial"/>
          <w:b w:val="false"/>
          <w:bCs w:val="false"/>
          <w:sz w:val="24"/>
          <w:szCs w:val="24"/>
        </w:rPr>
        <w:t>sul trimestre precedente</w:t>
      </w:r>
      <w:r>
        <w:rPr>
          <w:rFonts w:ascii="Arial" w:hAnsi="Arial"/>
          <w:sz w:val="24"/>
          <w:szCs w:val="24"/>
        </w:rPr>
        <w:t xml:space="preserve">, frutto di </w:t>
      </w:r>
      <w:r>
        <w:rPr>
          <w:rFonts w:ascii="Arial" w:hAnsi="Arial"/>
          <w:b/>
          <w:bCs/>
          <w:sz w:val="24"/>
          <w:szCs w:val="24"/>
        </w:rPr>
        <w:t>228 iscrizioni e 241 cessazioni</w:t>
      </w:r>
      <w:r>
        <w:rPr>
          <w:rFonts w:ascii="Arial" w:hAnsi="Arial"/>
          <w:sz w:val="24"/>
          <w:szCs w:val="24"/>
        </w:rPr>
        <w:t xml:space="preserve">. Il tasso di crescita trimestrale si attesta al </w:t>
      </w:r>
      <w:r>
        <w:rPr>
          <w:rFonts w:ascii="Arial" w:hAnsi="Arial"/>
          <w:b/>
          <w:bCs/>
          <w:sz w:val="24"/>
          <w:szCs w:val="24"/>
        </w:rPr>
        <w:t>-0,11%.</w:t>
      </w:r>
    </w:p>
    <w:p>
      <w:pPr>
        <w:pStyle w:val="Normal"/>
        <w:spacing w:before="0" w:after="12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Un dato che, letto isolatamente, potrebbe suggerire una fase di contrazione, ma che cambia significato se inserito nel contesto degli ultimi mesi. Rispetto allo stesso periodo del 2025, infatti, </w:t>
      </w:r>
      <w:r>
        <w:rPr>
          <w:rFonts w:ascii="Arial" w:hAnsi="Arial"/>
          <w:b/>
          <w:bCs/>
          <w:sz w:val="24"/>
          <w:szCs w:val="24"/>
        </w:rPr>
        <w:t>il saldo negativo si dimezza (era -26)</w:t>
      </w:r>
      <w:r>
        <w:rPr>
          <w:rFonts w:ascii="Arial" w:hAnsi="Arial"/>
          <w:sz w:val="24"/>
          <w:szCs w:val="24"/>
        </w:rPr>
        <w:t xml:space="preserve">, mentre cresce in modo significativo il numero delle </w:t>
      </w:r>
      <w:r>
        <w:rPr>
          <w:rFonts w:ascii="Arial" w:hAnsi="Arial"/>
          <w:b/>
          <w:bCs/>
          <w:sz w:val="24"/>
          <w:szCs w:val="24"/>
        </w:rPr>
        <w:t>nuove aperture (+26 imprese)</w:t>
      </w:r>
      <w:r>
        <w:rPr>
          <w:rFonts w:ascii="Arial" w:hAnsi="Arial"/>
          <w:sz w:val="24"/>
          <w:szCs w:val="24"/>
        </w:rPr>
        <w:t>.</w:t>
      </w:r>
    </w:p>
    <w:p>
      <w:pPr>
        <w:pStyle w:val="Normal"/>
        <w:spacing w:before="0" w:after="120"/>
        <w:jc w:val="both"/>
        <w:rPr>
          <w:rFonts w:ascii="Arial" w:hAnsi="Arial"/>
          <w:sz w:val="24"/>
          <w:szCs w:val="24"/>
        </w:rPr>
      </w:pPr>
      <w:r>
        <w:rPr/>
        <w:drawing>
          <wp:inline distT="0" distB="0" distL="0" distR="0">
            <wp:extent cx="5576570" cy="3112770"/>
            <wp:effectExtent l="0" t="0" r="0" b="0"/>
            <wp:docPr id="1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0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311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2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Il primo trimestre dell’anno continua a scontare la fisiologica concentrazione delle chiusure maturate a fine anno, ma il confronto tendenziale restituisce un quadro più dinamico: </w:t>
      </w:r>
      <w:r>
        <w:rPr>
          <w:rFonts w:ascii="Arial" w:hAnsi="Arial"/>
          <w:b/>
          <w:bCs/>
          <w:sz w:val="24"/>
          <w:szCs w:val="24"/>
        </w:rPr>
        <w:t>aumenta la propensione a fare impresa e si riduce il saldo negativo.</w:t>
      </w:r>
    </w:p>
    <w:p>
      <w:pPr>
        <w:pStyle w:val="Normal"/>
        <w:spacing w:before="0" w:after="120"/>
        <w:jc w:val="both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sz w:val="24"/>
          <w:szCs w:val="24"/>
        </w:rPr>
        <w:t>Il dato congiunturale conferma inoltre una sostanziale stabilità del sistema. A fine 2025 lo stock era pari a 11.956 imprese: la flessione di poco più di una decina di unità indica che, una volta completata la fase straordinaria di cancellazioni d’ufficio che ha caratterizzato l’anno passato</w:t>
      </w:r>
      <w:r>
        <w:rPr>
          <w:rFonts w:ascii="Arial" w:hAnsi="Arial"/>
          <w:b/>
          <w:bCs/>
          <w:sz w:val="24"/>
          <w:szCs w:val="24"/>
        </w:rPr>
        <w:t>, il tessuto imprenditoriale reale si è assestato su un nuovo equilibrio.</w:t>
      </w:r>
    </w:p>
    <w:p>
      <w:pPr>
        <w:pStyle w:val="Normal"/>
        <w:spacing w:before="0" w:after="12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Il confronto territoriale aiuta a inquadrare meglio il dato regionale. A livello nazionale, il primo trimestre 2026 si chiude con un saldo positivo di </w:t>
      </w:r>
      <w:r>
        <w:rPr>
          <w:rFonts w:ascii="Arial" w:hAnsi="Arial"/>
          <w:b/>
          <w:bCs/>
          <w:sz w:val="24"/>
          <w:szCs w:val="24"/>
        </w:rPr>
        <w:t>+690 imprese</w:t>
      </w:r>
      <w:r>
        <w:rPr>
          <w:rFonts w:ascii="Arial" w:hAnsi="Arial"/>
          <w:sz w:val="24"/>
          <w:szCs w:val="24"/>
        </w:rPr>
        <w:t xml:space="preserve"> e un tasso di crescita dello </w:t>
      </w:r>
      <w:r>
        <w:rPr>
          <w:rFonts w:ascii="Arial" w:hAnsi="Arial"/>
          <w:b/>
          <w:bCs/>
          <w:sz w:val="24"/>
          <w:szCs w:val="24"/>
        </w:rPr>
        <w:t>0,01%.</w:t>
      </w:r>
      <w:r>
        <w:rPr>
          <w:rFonts w:ascii="Arial" w:hAnsi="Arial"/>
          <w:sz w:val="24"/>
          <w:szCs w:val="24"/>
        </w:rPr>
        <w:t xml:space="preserve"> Nel Nord-Ovest, invece, il saldo resta negativo </w:t>
      </w:r>
      <w:r>
        <w:rPr>
          <w:rFonts w:ascii="Arial" w:hAnsi="Arial"/>
          <w:b/>
          <w:bCs/>
          <w:sz w:val="24"/>
          <w:szCs w:val="24"/>
        </w:rPr>
        <w:t>(-0,05%).</w:t>
      </w:r>
      <w:r>
        <w:rPr>
          <w:rFonts w:ascii="Arial" w:hAnsi="Arial"/>
          <w:sz w:val="24"/>
          <w:szCs w:val="24"/>
        </w:rPr>
        <w:t xml:space="preserve"> In questo contesto, la Valle d’Aosta </w:t>
      </w:r>
      <w:r>
        <w:rPr>
          <w:rFonts w:ascii="Arial" w:hAnsi="Arial"/>
          <w:b/>
          <w:bCs/>
          <w:sz w:val="24"/>
          <w:szCs w:val="24"/>
        </w:rPr>
        <w:t>(-0,11%)</w:t>
      </w:r>
      <w:r>
        <w:rPr>
          <w:rFonts w:ascii="Arial" w:hAnsi="Arial"/>
          <w:sz w:val="24"/>
          <w:szCs w:val="24"/>
        </w:rPr>
        <w:t xml:space="preserve"> mostra una dinamica migliore rispetto a </w:t>
      </w:r>
      <w:r>
        <w:rPr>
          <w:rFonts w:ascii="Arial" w:hAnsi="Arial"/>
          <w:b/>
          <w:bCs/>
          <w:sz w:val="24"/>
          <w:szCs w:val="24"/>
        </w:rPr>
        <w:t>Piemonte (-0,30%) e Liguria (-0,15%),</w:t>
      </w:r>
      <w:r>
        <w:rPr>
          <w:rFonts w:ascii="Arial" w:hAnsi="Arial"/>
          <w:sz w:val="24"/>
          <w:szCs w:val="24"/>
        </w:rPr>
        <w:t xml:space="preserve"> pur restando al di sotto della Lombardia, unica regione dell’area in crescita </w:t>
      </w:r>
      <w:r>
        <w:rPr>
          <w:rFonts w:ascii="Arial" w:hAnsi="Arial"/>
          <w:b/>
          <w:bCs/>
          <w:sz w:val="24"/>
          <w:szCs w:val="24"/>
        </w:rPr>
        <w:t>(+0,08%).</w:t>
      </w:r>
    </w:p>
    <w:p>
      <w:pPr>
        <w:pStyle w:val="Normal"/>
        <w:spacing w:before="0" w:after="12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Ma è nell’analisi settoriale che emergono i segnali più interessanti. I dati confermano una trasformazione profonda dell’economia valdostana, sempre più orientata verso turismo e servizi avanzati.</w:t>
      </w:r>
    </w:p>
    <w:p>
      <w:pPr>
        <w:pStyle w:val="Normal"/>
        <w:spacing w:before="0" w:after="120"/>
        <w:jc w:val="both"/>
        <w:rPr>
          <w:rFonts w:ascii="Arial" w:hAnsi="Arial"/>
          <w:sz w:val="24"/>
          <w:szCs w:val="24"/>
        </w:rPr>
      </w:pPr>
      <w:r>
        <w:rPr/>
        <w:drawing>
          <wp:inline distT="0" distB="0" distL="0" distR="0">
            <wp:extent cx="5576570" cy="3112770"/>
            <wp:effectExtent l="0" t="0" r="0" b="0"/>
            <wp:docPr id="2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11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311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2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Il commercio si conferma il comparto più in difficoltà, con </w:t>
      </w:r>
      <w:r>
        <w:rPr>
          <w:rFonts w:ascii="Arial" w:hAnsi="Arial"/>
          <w:b/>
          <w:bCs/>
          <w:sz w:val="24"/>
          <w:szCs w:val="24"/>
        </w:rPr>
        <w:t>15 nuove iscrizioni a fronte di 42 cessazioni, per un saldo di -27 imprese</w:t>
      </w:r>
      <w:r>
        <w:rPr>
          <w:rFonts w:ascii="Arial" w:hAnsi="Arial"/>
          <w:sz w:val="24"/>
          <w:szCs w:val="24"/>
        </w:rPr>
        <w:t xml:space="preserve">. Anche l’agricoltura registra un saldo negativo </w:t>
      </w:r>
      <w:r>
        <w:rPr>
          <w:rFonts w:ascii="Arial" w:hAnsi="Arial"/>
          <w:b/>
          <w:bCs/>
          <w:sz w:val="24"/>
          <w:szCs w:val="24"/>
        </w:rPr>
        <w:t>(-19),</w:t>
      </w:r>
      <w:r>
        <w:rPr>
          <w:rFonts w:ascii="Arial" w:hAnsi="Arial"/>
          <w:sz w:val="24"/>
          <w:szCs w:val="24"/>
        </w:rPr>
        <w:t xml:space="preserve"> evidenziando le difficoltà dei settori più tradizionali.</w:t>
      </w:r>
    </w:p>
    <w:p>
      <w:pPr>
        <w:pStyle w:val="Normal"/>
        <w:spacing w:before="0" w:after="12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Di segno opposto la dinamica dei servizi. Il turismo (alloggio e ristorazione) chiude il trimestre in positivo con </w:t>
      </w:r>
      <w:r>
        <w:rPr>
          <w:rFonts w:ascii="Arial" w:hAnsi="Arial"/>
          <w:b/>
          <w:bCs/>
          <w:sz w:val="24"/>
          <w:szCs w:val="24"/>
        </w:rPr>
        <w:t>+7 imprese, grazie a 22 nuove aperture contro 15 chiusure</w:t>
      </w:r>
      <w:r>
        <w:rPr>
          <w:rFonts w:ascii="Arial" w:hAnsi="Arial"/>
          <w:sz w:val="24"/>
          <w:szCs w:val="24"/>
        </w:rPr>
        <w:t xml:space="preserve">, trainato in particolare dai servizi di alloggio. Crescono anche i servizi alle imprese: attività amministrative </w:t>
      </w:r>
      <w:r>
        <w:rPr>
          <w:rFonts w:ascii="Arial" w:hAnsi="Arial"/>
          <w:b/>
          <w:bCs/>
          <w:sz w:val="24"/>
          <w:szCs w:val="24"/>
        </w:rPr>
        <w:t>(+6),</w:t>
      </w:r>
      <w:r>
        <w:rPr>
          <w:rFonts w:ascii="Arial" w:hAnsi="Arial"/>
          <w:sz w:val="24"/>
          <w:szCs w:val="24"/>
        </w:rPr>
        <w:t xml:space="preserve"> finanziarie e assicurative (</w:t>
      </w:r>
      <w:r>
        <w:rPr>
          <w:rFonts w:ascii="Arial" w:hAnsi="Arial"/>
          <w:b/>
          <w:bCs/>
          <w:sz w:val="24"/>
          <w:szCs w:val="24"/>
        </w:rPr>
        <w:t>+5),</w:t>
      </w:r>
      <w:r>
        <w:rPr>
          <w:rFonts w:ascii="Arial" w:hAnsi="Arial"/>
          <w:sz w:val="24"/>
          <w:szCs w:val="24"/>
        </w:rPr>
        <w:t xml:space="preserve"> professionali, scientifiche e tecniche </w:t>
      </w:r>
      <w:r>
        <w:rPr>
          <w:rFonts w:ascii="Arial" w:hAnsi="Arial"/>
          <w:b/>
          <w:bCs/>
          <w:sz w:val="24"/>
          <w:szCs w:val="24"/>
        </w:rPr>
        <w:t>(+3).</w:t>
      </w:r>
    </w:p>
    <w:p>
      <w:pPr>
        <w:pStyle w:val="Normal"/>
        <w:spacing w:before="0" w:after="12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Il dato più evidente è il cambio di direzione del sistema economico: </w:t>
      </w:r>
      <w:r>
        <w:rPr>
          <w:rFonts w:ascii="Arial" w:hAnsi="Arial"/>
          <w:b/>
          <w:bCs/>
          <w:sz w:val="24"/>
          <w:szCs w:val="24"/>
        </w:rPr>
        <w:t>per ogni nuova apertura nel commercio si registrano quasi tre chiusure</w:t>
      </w:r>
      <w:r>
        <w:rPr>
          <w:rFonts w:ascii="Arial" w:hAnsi="Arial"/>
          <w:sz w:val="24"/>
          <w:szCs w:val="24"/>
        </w:rPr>
        <w:t xml:space="preserve">, mentre </w:t>
      </w:r>
      <w:r>
        <w:rPr>
          <w:rFonts w:ascii="Arial" w:hAnsi="Arial"/>
          <w:b/>
          <w:bCs/>
          <w:sz w:val="24"/>
          <w:szCs w:val="24"/>
        </w:rPr>
        <w:t>nel turismo si osserva una dinamica opposta,</w:t>
      </w:r>
      <w:r>
        <w:rPr>
          <w:rFonts w:ascii="Arial" w:hAnsi="Arial"/>
          <w:sz w:val="24"/>
          <w:szCs w:val="24"/>
        </w:rPr>
        <w:t xml:space="preserve"> con un numero di nuove imprese nettamente superiore alle cessazioni.</w:t>
      </w:r>
    </w:p>
    <w:p>
      <w:pPr>
        <w:pStyle w:val="Normal"/>
        <w:spacing w:before="0" w:after="120"/>
        <w:jc w:val="both"/>
        <w:rPr>
          <w:rFonts w:ascii="Arial" w:hAnsi="Arial"/>
          <w:sz w:val="24"/>
          <w:szCs w:val="24"/>
        </w:rPr>
      </w:pPr>
      <w:r>
        <w:rPr/>
        <w:drawing>
          <wp:inline distT="0" distB="0" distL="0" distR="0">
            <wp:extent cx="5576570" cy="3112770"/>
            <wp:effectExtent l="0" t="0" r="0" b="0"/>
            <wp:docPr id="3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1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311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12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Questa evoluzione si inserisce in un quadro nazionale caratterizzato da una crescente incidenza delle società di capitale, che rappresentano il vero motore della crescita </w:t>
      </w:r>
      <w:r>
        <w:rPr>
          <w:rFonts w:ascii="Arial" w:hAnsi="Arial"/>
          <w:b/>
          <w:bCs/>
          <w:sz w:val="24"/>
          <w:szCs w:val="24"/>
        </w:rPr>
        <w:t>(+15.739 imprese in Italia),</w:t>
      </w:r>
      <w:r>
        <w:rPr>
          <w:rFonts w:ascii="Arial" w:hAnsi="Arial"/>
          <w:sz w:val="24"/>
          <w:szCs w:val="24"/>
        </w:rPr>
        <w:t xml:space="preserve"> a fronte della contrazione delle forme imprenditoriali più tradizionali.</w:t>
      </w:r>
    </w:p>
    <w:p>
      <w:pPr>
        <w:pStyle w:val="Normal"/>
        <w:spacing w:before="0" w:after="12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Il </w:t>
      </w:r>
      <w:r>
        <w:rPr>
          <w:rFonts w:ascii="Arial" w:hAnsi="Arial"/>
          <w:b/>
          <w:bCs/>
          <w:sz w:val="24"/>
          <w:szCs w:val="24"/>
        </w:rPr>
        <w:t>comparto artigiano</w:t>
      </w:r>
      <w:r>
        <w:rPr>
          <w:rFonts w:ascii="Arial" w:hAnsi="Arial"/>
          <w:sz w:val="24"/>
          <w:szCs w:val="24"/>
        </w:rPr>
        <w:t xml:space="preserve"> valdostano mostra nel complesso una </w:t>
      </w:r>
      <w:r>
        <w:rPr>
          <w:rFonts w:ascii="Arial" w:hAnsi="Arial"/>
          <w:b/>
          <w:bCs/>
          <w:sz w:val="24"/>
          <w:szCs w:val="24"/>
        </w:rPr>
        <w:t>buona tenuta</w:t>
      </w:r>
      <w:r>
        <w:rPr>
          <w:rFonts w:ascii="Arial" w:hAnsi="Arial"/>
          <w:sz w:val="24"/>
          <w:szCs w:val="24"/>
        </w:rPr>
        <w:t xml:space="preserve">, chiudendo il trimestre con un </w:t>
      </w:r>
      <w:r>
        <w:rPr>
          <w:rFonts w:ascii="Arial" w:hAnsi="Arial"/>
          <w:b/>
          <w:bCs/>
          <w:sz w:val="24"/>
          <w:szCs w:val="24"/>
        </w:rPr>
        <w:t>saldo leggermente positivo (+2 imprese), grazie a 90 iscrizioni e 88 cessazioni.</w:t>
      </w:r>
      <w:r>
        <w:rPr>
          <w:rFonts w:ascii="Arial" w:hAnsi="Arial"/>
          <w:sz w:val="24"/>
          <w:szCs w:val="24"/>
        </w:rPr>
        <w:t xml:space="preserve"> All’interno del settore, le costruzioni restano predominanti ma registrano un calo.</w:t>
      </w:r>
    </w:p>
    <w:p>
      <w:pPr>
        <w:pStyle w:val="Normal"/>
        <w:spacing w:before="0" w:after="120"/>
        <w:jc w:val="both"/>
        <w:rPr>
          <w:rFonts w:ascii="Arial" w:hAnsi="Arial"/>
          <w:i/>
          <w:iCs/>
          <w:sz w:val="24"/>
          <w:szCs w:val="24"/>
        </w:rPr>
      </w:pPr>
      <w:r>
        <w:rPr>
          <w:rFonts w:ascii="Arial" w:hAnsi="Arial"/>
          <w:sz w:val="24"/>
          <w:szCs w:val="24"/>
        </w:rPr>
        <w:t>“</w:t>
      </w:r>
      <w:r>
        <w:rPr>
          <w:rFonts w:ascii="Arial" w:hAnsi="Arial"/>
          <w:i/>
          <w:iCs/>
          <w:sz w:val="24"/>
          <w:szCs w:val="24"/>
        </w:rPr>
        <w:t>Il primo trimestre 2026 ci consegna un dato che va letto con attenzione: cresce la capacità di avviare nuove imprese e, allo stesso tempo, si ridisegna la struttura del sistema economico</w:t>
      </w:r>
      <w:r>
        <w:rPr>
          <w:rFonts w:ascii="Arial" w:hAnsi="Arial"/>
          <w:sz w:val="24"/>
          <w:szCs w:val="24"/>
        </w:rPr>
        <w:t xml:space="preserve"> – commenta il Presidente della Chambre valdôtaine, Roberto Sapia –. </w:t>
      </w:r>
      <w:r>
        <w:rPr>
          <w:rFonts w:ascii="Arial" w:hAnsi="Arial"/>
          <w:i/>
          <w:iCs/>
          <w:sz w:val="24"/>
          <w:szCs w:val="24"/>
        </w:rPr>
        <w:t>Non è solo una questione di numeri, ma di dove si concentra oggi l’iniziativa imprenditoriale: turismo, servizi e attività a maggiore contenuto professionale”.</w:t>
      </w:r>
    </w:p>
    <w:p>
      <w:pPr>
        <w:pStyle w:val="Normal"/>
        <w:spacing w:before="0" w:after="120"/>
        <w:jc w:val="both"/>
        <w:rPr>
          <w:rFonts w:ascii="Arial" w:hAnsi="Arial"/>
          <w:i/>
          <w:iCs/>
          <w:sz w:val="24"/>
          <w:szCs w:val="24"/>
        </w:rPr>
      </w:pPr>
      <w:r>
        <w:rPr>
          <w:rFonts w:ascii="Arial" w:hAnsi="Arial"/>
          <w:i/>
          <w:iCs/>
          <w:sz w:val="24"/>
          <w:szCs w:val="24"/>
        </w:rPr>
        <w:t>“</w:t>
      </w:r>
      <w:r>
        <w:rPr>
          <w:rFonts w:ascii="Arial" w:hAnsi="Arial"/>
          <w:b/>
          <w:bCs/>
          <w:i/>
          <w:iCs/>
          <w:sz w:val="24"/>
          <w:szCs w:val="24"/>
        </w:rPr>
        <w:t>Il dato più interessante, quindi, non è il saldo, ma la direzione</w:t>
      </w:r>
      <w:r>
        <w:rPr>
          <w:rFonts w:ascii="Arial" w:hAnsi="Arial"/>
          <w:i/>
          <w:iCs/>
          <w:sz w:val="24"/>
          <w:szCs w:val="24"/>
        </w:rPr>
        <w:t xml:space="preserve"> – </w:t>
      </w:r>
      <w:r>
        <w:rPr>
          <w:rFonts w:ascii="Arial" w:hAnsi="Arial"/>
          <w:sz w:val="24"/>
          <w:szCs w:val="24"/>
        </w:rPr>
        <w:t>prosegue</w:t>
      </w:r>
      <w:r>
        <w:rPr>
          <w:rFonts w:ascii="Arial" w:hAnsi="Arial"/>
          <w:i/>
          <w:iCs/>
          <w:sz w:val="24"/>
          <w:szCs w:val="24"/>
        </w:rPr>
        <w:t xml:space="preserve"> - aumentano le aperture e cambiano i settori in cui si investe, con meno commercio tradizionale e più servizi alle imprese e turismo. </w:t>
      </w:r>
      <w:r>
        <w:rPr>
          <w:rFonts w:ascii="Arial" w:hAnsi="Arial"/>
          <w:b/>
          <w:bCs/>
          <w:i/>
          <w:iCs/>
          <w:sz w:val="24"/>
          <w:szCs w:val="24"/>
        </w:rPr>
        <w:t>È un segnale concreto di riallocazione delle energie imprenditoriale”</w:t>
      </w:r>
      <w:r>
        <w:rPr>
          <w:rFonts w:ascii="Arial" w:hAnsi="Arial"/>
          <w:i/>
          <w:iCs/>
          <w:sz w:val="24"/>
          <w:szCs w:val="24"/>
        </w:rPr>
        <w:t>.</w:t>
      </w:r>
    </w:p>
    <w:p>
      <w:pPr>
        <w:pStyle w:val="Normal"/>
        <w:spacing w:before="0" w:after="12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“</w:t>
      </w:r>
      <w:r>
        <w:rPr>
          <w:rFonts w:ascii="Arial" w:hAnsi="Arial"/>
          <w:i/>
          <w:iCs/>
          <w:sz w:val="24"/>
          <w:szCs w:val="24"/>
        </w:rPr>
        <w:t xml:space="preserve">Questo spostamento </w:t>
      </w:r>
      <w:r>
        <w:rPr>
          <w:rFonts w:ascii="Arial" w:hAnsi="Arial"/>
          <w:sz w:val="24"/>
          <w:szCs w:val="24"/>
        </w:rPr>
        <w:t xml:space="preserve">- conclude Sapia - </w:t>
      </w:r>
      <w:r>
        <w:rPr>
          <w:rFonts w:ascii="Arial" w:hAnsi="Arial"/>
          <w:i/>
          <w:iCs/>
          <w:sz w:val="24"/>
          <w:szCs w:val="24"/>
        </w:rPr>
        <w:t>pone una questione molto concreta: come mantenere equilibrio tra i nuovi ambiti di sviluppo e i settori tradizionali che continuano a rappresentare un presidio economico e sociale del territorio</w:t>
      </w:r>
      <w:r>
        <w:rPr>
          <w:rFonts w:ascii="Arial" w:hAnsi="Arial"/>
          <w:b/>
          <w:bCs/>
          <w:i/>
          <w:iCs/>
          <w:sz w:val="24"/>
          <w:szCs w:val="24"/>
        </w:rPr>
        <w:t>. La sfida non è fermare il cambiamento, ma governarlo, rendendo la transizione ordinata ed efficace.</w:t>
      </w:r>
      <w:r>
        <w:rPr>
          <w:rFonts w:ascii="Arial" w:hAnsi="Arial"/>
          <w:i/>
          <w:iCs/>
          <w:sz w:val="24"/>
          <w:szCs w:val="24"/>
        </w:rPr>
        <w:t xml:space="preserve"> Per farlo serve agire su leve molto concrete: accesso al credito, accompagnamento all’innovazione, supporto al passaggio generazionale e maggiore integrazione tra turismo, servizi e filiere locali. </w:t>
      </w:r>
      <w:r>
        <w:rPr>
          <w:rFonts w:ascii="Arial" w:hAnsi="Arial"/>
          <w:b/>
          <w:bCs/>
          <w:i/>
          <w:iCs/>
          <w:sz w:val="24"/>
          <w:szCs w:val="24"/>
        </w:rPr>
        <w:t>È su questo terreno che si gioca la competitività della Valle d’Aosta nei prossimi anni”.</w:t>
      </w:r>
    </w:p>
    <w:p>
      <w:pPr>
        <w:pStyle w:val="Normal"/>
        <w:spacing w:before="0" w:after="120"/>
        <w:jc w:val="both"/>
        <w:rPr>
          <w:rStyle w:val="Nessuno"/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p>
      <w:pPr>
        <w:pStyle w:val="Normal"/>
        <w:spacing w:before="0" w:after="120"/>
        <w:jc w:val="both"/>
        <w:rPr>
          <w:rStyle w:val="Nessuno"/>
          <w:rFonts w:ascii="Arial" w:hAnsi="Arial"/>
          <w:sz w:val="24"/>
          <w:szCs w:val="24"/>
        </w:rPr>
      </w:pPr>
      <w:r>
        <w:rPr>
          <w:rStyle w:val="Nessuno"/>
          <w:rFonts w:ascii="Arial" w:hAnsi="Arial"/>
          <w:sz w:val="24"/>
          <w:szCs w:val="24"/>
        </w:rPr>
        <w:t>Aosta, 29 aprile 2026</w:t>
      </w:r>
    </w:p>
    <w:p>
      <w:pPr>
        <w:pStyle w:val="Normal"/>
        <w:suppressAutoHyphens w:val="false"/>
        <w:spacing w:before="0" w:after="120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</w:r>
    </w:p>
    <w:sectPr>
      <w:headerReference w:type="even" r:id="rId5"/>
      <w:headerReference w:type="default" r:id="rId6"/>
      <w:headerReference w:type="first" r:id="rId7"/>
      <w:footerReference w:type="even" r:id="rId8"/>
      <w:footerReference w:type="default" r:id="rId9"/>
      <w:footerReference w:type="first" r:id="rId10"/>
      <w:type w:val="nextPage"/>
      <w:pgSz w:w="11906" w:h="16838"/>
      <w:pgMar w:left="1701" w:right="1417" w:gutter="0" w:header="0" w:top="216" w:footer="594" w:bottom="993"/>
      <w:pgNumType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Tahoma">
    <w:charset w:val="00" w:characterSet="windows-1252"/>
    <w:family w:val="swiss"/>
    <w:pitch w:val="variable"/>
  </w:font>
  <w:font w:name="Liberation Sans">
    <w:altName w:val="Arial"/>
    <w:charset w:val="00" w:characterSet="windows-1252"/>
    <w:family w:val="swiss"/>
    <w:pitch w:val="variable"/>
  </w:font>
  <w:font w:name="Helvetica Neue">
    <w:charset w:val="00" w:characterSet="windows-1252"/>
    <w:family w:val="roman"/>
    <w:pitch w:val="variable"/>
  </w:font>
  <w:font w:name="Cambria">
    <w:charset w:val="00" w:characterSet="windows-1252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both"/>
      <w:rPr>
        <w:rFonts w:ascii="Arial" w:hAnsi="Arial"/>
        <w:sz w:val="16"/>
        <w:szCs w:val="16"/>
      </w:rPr>
    </w:pPr>
    <w:r>
      <w:rPr>
        <w:rFonts w:ascii="Arial" w:hAnsi="Arial"/>
        <w:sz w:val="16"/>
        <w:szCs w:val="16"/>
      </w:rPr>
    </w:r>
  </w:p>
  <w:p>
    <w:pPr>
      <w:pStyle w:val="Header"/>
      <w:tabs>
        <w:tab w:val="clear" w:pos="709"/>
        <w:tab w:val="left" w:pos="1985" w:leader="none"/>
        <w:tab w:val="left" w:pos="5387" w:leader="none"/>
      </w:tabs>
      <w:jc w:val="center"/>
      <w:rPr/>
    </w:pPr>
    <w:r>
      <mc:AlternateContent>
        <mc:Choice Requires="wpg">
          <w:drawing>
            <wp:anchor distT="0" distB="0" distL="0" distR="0" simplePos="0" relativeHeight="15" behindDoc="1" locked="0" layoutInCell="0" allowOverlap="1" wp14:anchorId="036D43C5">
              <wp:simplePos x="0" y="0"/>
              <wp:positionH relativeFrom="page">
                <wp:posOffset>1089025</wp:posOffset>
              </wp:positionH>
              <wp:positionV relativeFrom="page">
                <wp:posOffset>9544050</wp:posOffset>
              </wp:positionV>
              <wp:extent cx="722630" cy="502920"/>
              <wp:effectExtent l="0" t="0" r="0" b="0"/>
              <wp:wrapNone/>
              <wp:docPr id="8" name="Gruppo 8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520" cy="502920"/>
                        <a:chOff x="0" y="0"/>
                        <a:chExt cx="722520" cy="502920"/>
                      </a:xfrm>
                    </wpg:grpSpPr>
                    <wps:wsp>
                      <wps:cNvPr id="9" name="Rectangle 7"/>
                      <wps:cNvSpPr/>
                      <wps:spPr>
                        <a:xfrm>
                          <a:off x="0" y="0"/>
                          <a:ext cx="72252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0" name="Picture 6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0"/>
                          <a:ext cx="722160" cy="502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po 8" style="position:absolute;margin-left:85.75pt;margin-top:751.5pt;width:56.9pt;height:39.6pt" coordorigin="1715,15030" coordsize="1138,792">
              <v:rect id="shape_0" fillcolor="white" stroked="f" o:allowincell="f" style="position:absolute;left:1715;top:15030;width:1137;height:791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none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_0" stroked="f" o:allowincell="f" style="position:absolute;left:1715;top:15030;width:1136;height:790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w:rPr>
        <w:rStyle w:val="Nessuno"/>
        <w:rFonts w:ascii="Arial" w:hAnsi="Arial"/>
        <w:b/>
        <w:bCs/>
        <w:color w:val="333333"/>
        <w:sz w:val="18"/>
        <w:szCs w:val="18"/>
        <w:u w:val="none" w:color="333333"/>
      </w:rPr>
      <w:t>Segreteria Generale</w:t>
    </w:r>
  </w:p>
  <w:p>
    <w:pPr>
      <w:pStyle w:val="Header"/>
      <w:tabs>
        <w:tab w:val="clear" w:pos="709"/>
        <w:tab w:val="left" w:pos="1985" w:leader="none"/>
        <w:tab w:val="left" w:pos="5387" w:leader="none"/>
      </w:tabs>
      <w:jc w:val="center"/>
      <w:rPr/>
    </w:pPr>
    <w:r>
      <w:rPr>
        <w:rStyle w:val="Nessuno"/>
        <w:rFonts w:ascii="Arial" w:hAnsi="Arial"/>
        <w:color w:val="333333"/>
        <w:sz w:val="16"/>
        <w:szCs w:val="16"/>
        <w:u w:val="none" w:color="333333"/>
      </w:rPr>
      <w:t>Regione Borgnalle,12 - 11100 Aosta</w:t>
    </w:r>
  </w:p>
  <w:p>
    <w:pPr>
      <w:pStyle w:val="Header"/>
      <w:tabs>
        <w:tab w:val="clear" w:pos="709"/>
        <w:tab w:val="left" w:pos="1985" w:leader="none"/>
        <w:tab w:val="left" w:pos="5387" w:leader="none"/>
      </w:tabs>
      <w:jc w:val="center"/>
      <w:rPr/>
    </w:pPr>
    <w:r>
      <w:rPr>
        <w:rStyle w:val="Nessuno"/>
        <w:rFonts w:ascii="Arial" w:hAnsi="Arial"/>
        <w:color w:val="333333"/>
        <w:sz w:val="16"/>
        <w:szCs w:val="16"/>
        <w:u w:val="none" w:color="333333"/>
      </w:rPr>
      <w:t>Tel. 0165 573001</w:t>
    </w:r>
  </w:p>
  <w:p>
    <w:pPr>
      <w:pStyle w:val="Header"/>
      <w:tabs>
        <w:tab w:val="clear" w:pos="709"/>
        <w:tab w:val="left" w:pos="1985" w:leader="none"/>
        <w:tab w:val="left" w:pos="5387" w:leader="none"/>
      </w:tabs>
      <w:jc w:val="center"/>
      <w:rPr/>
    </w:pPr>
    <w:hyperlink r:id="rId3">
      <w:r>
        <w:rPr>
          <w:rStyle w:val="Style9"/>
          <w:rFonts w:eastAsia="Arial" w:cs="Arial" w:ascii="Arial" w:hAnsi="Arial"/>
          <w:color w:val="0000FF"/>
          <w:sz w:val="16"/>
          <w:szCs w:val="16"/>
          <w:u w:val="single" w:color="0000FF"/>
          <w:lang w:val="it-IT"/>
        </w:rPr>
        <w:t>cciaa.aosta@ao.legalmail.camcom.it</w:t>
      </w:r>
    </w:hyperlink>
  </w:p>
  <w:p>
    <w:pPr>
      <w:pStyle w:val="Header"/>
      <w:tabs>
        <w:tab w:val="clear" w:pos="709"/>
        <w:tab w:val="left" w:pos="1985" w:leader="none"/>
        <w:tab w:val="left" w:pos="5387" w:leader="none"/>
      </w:tabs>
      <w:jc w:val="center"/>
      <w:rPr>
        <w:rStyle w:val="Nessuno"/>
        <w:rFonts w:ascii="Arial" w:hAnsi="Arial" w:eastAsia="Arial" w:cs="Arial"/>
        <w:color w:val="808080"/>
        <w:sz w:val="16"/>
        <w:szCs w:val="16"/>
        <w:u w:val="none" w:color="808080"/>
      </w:rPr>
    </w:pPr>
    <w:hyperlink r:id="rId4">
      <w:r>
        <w:rPr>
          <w:rStyle w:val="Hyperlink"/>
          <w:rFonts w:eastAsia="Arial" w:cs="Arial" w:ascii="Arial" w:hAnsi="Arial"/>
          <w:sz w:val="16"/>
          <w:szCs w:val="16"/>
          <w:u w:val="none" w:color="0000FF"/>
        </w:rPr>
        <w:t>segreteria@ao.camcom.it</w:t>
      </w:r>
    </w:hyperlink>
  </w:p>
  <w:p>
    <w:pPr>
      <w:pStyle w:val="Header"/>
      <w:tabs>
        <w:tab w:val="clear" w:pos="709"/>
        <w:tab w:val="left" w:pos="1985" w:leader="none"/>
        <w:tab w:val="left" w:pos="5387" w:leader="none"/>
      </w:tabs>
      <w:jc w:val="center"/>
      <w:rPr/>
    </w:pPr>
    <w:r>
      <w:rPr>
        <w:rStyle w:val="Nessuno"/>
        <w:rFonts w:ascii="Arial" w:hAnsi="Arial"/>
        <w:color w:val="808080"/>
        <w:sz w:val="16"/>
        <w:szCs w:val="16"/>
        <w:u w:val="none" w:color="808080"/>
      </w:rPr>
      <w:t>www.ao.camcom.it</w:t>
    </w:r>
  </w:p>
  <w:p>
    <w:pPr>
      <w:pStyle w:val="Header"/>
      <w:tabs>
        <w:tab w:val="clear" w:pos="709"/>
        <w:tab w:val="left" w:pos="1985" w:leader="none"/>
        <w:tab w:val="left" w:pos="5387" w:leader="none"/>
      </w:tabs>
      <w:jc w:val="cen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tabs>
        <w:tab w:val="clear" w:pos="709"/>
        <w:tab w:val="left" w:pos="1985" w:leader="none"/>
        <w:tab w:val="left" w:pos="5387" w:leader="none"/>
      </w:tabs>
      <w:jc w:val="center"/>
      <w:rPr>
        <w:rStyle w:val="Nessuno"/>
        <w:rFonts w:ascii="Arial" w:hAnsi="Arial" w:eastAsia="Arial" w:cs="Arial"/>
        <w:b/>
        <w:bCs/>
        <w:color w:val="333333"/>
        <w:sz w:val="18"/>
        <w:szCs w:val="18"/>
        <w:u w:val="none" w:color="333333"/>
      </w:rPr>
    </w:pPr>
    <w:r>
      <w:rPr>
        <w:rFonts w:eastAsia="Arial" w:cs="Arial" w:ascii="Arial" w:hAnsi="Arial"/>
        <w:b/>
        <w:bCs/>
        <w:color w:val="333333"/>
        <w:sz w:val="18"/>
        <w:szCs w:val="18"/>
        <w:u w:val="none" w:color="333333"/>
      </w:rPr>
    </w:r>
  </w:p>
  <w:p>
    <w:pPr>
      <w:pStyle w:val="Header"/>
      <w:tabs>
        <w:tab w:val="clear" w:pos="709"/>
        <w:tab w:val="left" w:pos="1985" w:leader="none"/>
        <w:tab w:val="left" w:pos="5387" w:leader="none"/>
      </w:tabs>
      <w:jc w:val="center"/>
      <w:rPr/>
    </w:pPr>
    <w:r>
      <mc:AlternateContent>
        <mc:Choice Requires="wpg">
          <w:drawing>
            <wp:anchor distT="0" distB="0" distL="0" distR="0" simplePos="0" relativeHeight="16" behindDoc="1" locked="0" layoutInCell="0" allowOverlap="1" wp14:anchorId="0E845BC3">
              <wp:simplePos x="0" y="0"/>
              <wp:positionH relativeFrom="page">
                <wp:posOffset>879475</wp:posOffset>
              </wp:positionH>
              <wp:positionV relativeFrom="page">
                <wp:posOffset>9650730</wp:posOffset>
              </wp:positionV>
              <wp:extent cx="722630" cy="502920"/>
              <wp:effectExtent l="0" t="0" r="0" b="0"/>
              <wp:wrapNone/>
              <wp:docPr id="11" name="Gruppo 6"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2520" cy="502920"/>
                        <a:chOff x="0" y="0"/>
                        <a:chExt cx="722520" cy="502920"/>
                      </a:xfrm>
                    </wpg:grpSpPr>
                    <wps:wsp>
                      <wps:cNvPr id="12" name="Rectangle 3"/>
                      <wps:cNvSpPr/>
                      <wps:spPr>
                        <a:xfrm>
                          <a:off x="0" y="0"/>
                          <a:ext cx="72252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13" name="Picture 2"/>
                        <pic:cNvPicPr/>
                      </pic:nvPicPr>
                      <pic:blipFill>
                        <a:blip r:embed="rId1"/>
                        <a:stretch/>
                      </pic:blipFill>
                      <pic:spPr>
                        <a:xfrm>
                          <a:off x="0" y="720"/>
                          <a:ext cx="722160" cy="5022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shape_0" alt="Gruppo 6" style="position:absolute;margin-left:69.25pt;margin-top:759.9pt;width:56.9pt;height:39.6pt" coordorigin="1385,15198" coordsize="1138,792">
              <v:rect id="shape_0" fillcolor="white" stroked="f" o:allowincell="f" style="position:absolute;left:1385;top:15198;width:1137;height:791;mso-wrap-style:none;v-text-anchor:middle;mso-position-horizontal-relative:page;mso-position-vertical-relative:page">
                <v:fill o:detectmouseclick="t" type="solid" color2="black"/>
                <v:stroke color="#3465a4" joinstyle="round" endcap="flat"/>
                <w10:wrap type="none"/>
              </v:rect>
              <v:shape id="shape_0" stroked="f" o:allowincell="f" style="position:absolute;left:1385;top:15199;width:1136;height:790;mso-wrap-style:none;v-text-anchor:middle;mso-position-horizontal-relative:page;mso-position-vertical-relative:page" type="_x0000_t75">
                <v:imagedata r:id="rId2" o:detectmouseclick="t"/>
                <v:stroke color="#3465a4" joinstyle="round" endcap="flat"/>
                <w10:wrap type="none"/>
              </v:shape>
            </v:group>
          </w:pict>
        </mc:Fallback>
      </mc:AlternateContent>
    </w:r>
    <w:r>
      <w:rPr>
        <w:rStyle w:val="Nessuno"/>
        <w:rFonts w:ascii="Arial" w:hAnsi="Arial"/>
        <w:b/>
        <w:bCs/>
        <w:color w:val="333333"/>
        <w:sz w:val="18"/>
        <w:szCs w:val="18"/>
        <w:u w:val="none" w:color="333333"/>
      </w:rPr>
      <w:t>Segreteria Generale</w:t>
    </w:r>
  </w:p>
  <w:p>
    <w:pPr>
      <w:pStyle w:val="Header"/>
      <w:tabs>
        <w:tab w:val="clear" w:pos="709"/>
        <w:tab w:val="left" w:pos="1985" w:leader="none"/>
        <w:tab w:val="left" w:pos="5387" w:leader="none"/>
      </w:tabs>
      <w:jc w:val="center"/>
      <w:rPr/>
    </w:pPr>
    <w:r>
      <w:rPr>
        <w:rStyle w:val="Nessuno"/>
        <w:rFonts w:ascii="Arial" w:hAnsi="Arial"/>
        <w:color w:val="333333"/>
        <w:sz w:val="16"/>
        <w:szCs w:val="16"/>
        <w:u w:val="none" w:color="333333"/>
      </w:rPr>
      <w:t>Regione Borgnalle,12 - 11100 Aosta</w:t>
    </w:r>
  </w:p>
  <w:p>
    <w:pPr>
      <w:pStyle w:val="Header"/>
      <w:tabs>
        <w:tab w:val="clear" w:pos="709"/>
        <w:tab w:val="left" w:pos="1985" w:leader="none"/>
        <w:tab w:val="left" w:pos="5387" w:leader="none"/>
      </w:tabs>
      <w:jc w:val="center"/>
      <w:rPr/>
    </w:pPr>
    <w:r>
      <w:rPr>
        <w:rStyle w:val="Nessuno"/>
        <w:rFonts w:ascii="Arial" w:hAnsi="Arial"/>
        <w:color w:val="333333"/>
        <w:sz w:val="16"/>
        <w:szCs w:val="16"/>
        <w:u w:val="none" w:color="333333"/>
      </w:rPr>
      <w:t>Tel. 0165 573001</w:t>
    </w:r>
  </w:p>
  <w:p>
    <w:pPr>
      <w:pStyle w:val="Header"/>
      <w:tabs>
        <w:tab w:val="clear" w:pos="709"/>
        <w:tab w:val="left" w:pos="1985" w:leader="none"/>
        <w:tab w:val="left" w:pos="5387" w:leader="none"/>
      </w:tabs>
      <w:jc w:val="center"/>
      <w:rPr/>
    </w:pPr>
    <w:hyperlink r:id="rId3">
      <w:r>
        <w:rPr>
          <w:rStyle w:val="Style9"/>
          <w:rFonts w:eastAsia="Arial" w:cs="Arial" w:ascii="Arial" w:hAnsi="Arial"/>
          <w:color w:val="0000FF"/>
          <w:sz w:val="16"/>
          <w:szCs w:val="16"/>
          <w:u w:val="single" w:color="0000FF"/>
          <w:lang w:val="it-IT"/>
        </w:rPr>
        <w:t>cciaa.aosta@ao.legalmail.camcom.it</w:t>
      </w:r>
    </w:hyperlink>
  </w:p>
  <w:p>
    <w:pPr>
      <w:pStyle w:val="Header"/>
      <w:tabs>
        <w:tab w:val="clear" w:pos="709"/>
        <w:tab w:val="left" w:pos="1985" w:leader="none"/>
        <w:tab w:val="left" w:pos="5387" w:leader="none"/>
      </w:tabs>
      <w:jc w:val="center"/>
      <w:rPr>
        <w:rStyle w:val="Nessuno"/>
        <w:rFonts w:ascii="Arial" w:hAnsi="Arial" w:eastAsia="Arial" w:cs="Arial"/>
        <w:color w:val="808080"/>
        <w:sz w:val="16"/>
        <w:szCs w:val="16"/>
        <w:u w:val="none" w:color="808080"/>
      </w:rPr>
    </w:pPr>
    <w:hyperlink r:id="rId4">
      <w:r>
        <w:rPr>
          <w:rStyle w:val="Hyperlink"/>
          <w:rFonts w:eastAsia="Arial" w:cs="Arial" w:ascii="Arial" w:hAnsi="Arial"/>
          <w:sz w:val="16"/>
          <w:szCs w:val="16"/>
          <w:u w:val="none" w:color="0000FF"/>
        </w:rPr>
        <w:t>segreteria@ao.camcom.it</w:t>
      </w:r>
    </w:hyperlink>
  </w:p>
  <w:p>
    <w:pPr>
      <w:pStyle w:val="Header"/>
      <w:tabs>
        <w:tab w:val="clear" w:pos="709"/>
        <w:tab w:val="left" w:pos="1985" w:leader="none"/>
        <w:tab w:val="left" w:pos="5387" w:leader="none"/>
      </w:tabs>
      <w:jc w:val="center"/>
      <w:rPr/>
    </w:pPr>
    <w:r>
      <w:rPr>
        <w:rStyle w:val="Nessuno"/>
        <w:rFonts w:ascii="Arial" w:hAnsi="Arial"/>
        <w:color w:val="808080"/>
        <w:sz w:val="16"/>
        <w:szCs w:val="16"/>
        <w:u w:val="none" w:color="808080"/>
      </w:rPr>
      <w:t>www.ao.camcom.it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Intestazioneepidipagina"/>
      <w:rPr>
        <w:rFonts w:hint="eastAsia"/>
      </w:rPr>
    </w:pPr>
    <w:r>
      <w:rPr/>
      <w:drawing>
        <wp:inline distT="0" distB="0" distL="0" distR="0">
          <wp:extent cx="5220335" cy="1320800"/>
          <wp:effectExtent l="0" t="0" r="0" b="0"/>
          <wp:docPr id="4" name="officeArt object" descr="im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fficeArt object" descr="image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20335" cy="1320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  <mc:AlternateContent>
        <mc:Choice Requires="wps">
          <w:drawing>
            <wp:anchor distT="0" distB="0" distL="0" distR="0" simplePos="0" relativeHeight="8" behindDoc="1" locked="0" layoutInCell="0" allowOverlap="1" wp14:anchorId="1825F679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5" name="Rettangolo con angoli arrotondati 9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400" cy="10693440"/>
                      </a:xfrm>
                      <a:prstGeom prst="roundRect">
                        <a:avLst>
                          <a:gd name="adj" fmla="val 20000"/>
                        </a:avLst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oundrect id="shape_0" fillcolor="white" stroked="f" o:allowincell="f" style="position:absolute;margin-left:0pt;margin-top:0pt;width:594.95pt;height:841.95pt;mso-wrap-style:none;v-text-anchor:middle;mso-position-horizontal-relative:page;mso-position-vertical-relative:page" wp14:anchorId="1825F679">
              <v:fill o:detectmouseclick="t" type="solid" color2="black"/>
              <v:stroke color="#3465a4" joinstyle="round" endcap="flat"/>
              <w10:wrap type="none"/>
            </v:roundrect>
          </w:pict>
        </mc:Fallback>
      </mc:AlternateConten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tabs>
        <w:tab w:val="clear" w:pos="709"/>
        <w:tab w:val="left" w:pos="1985" w:leader="none"/>
        <w:tab w:val="left" w:pos="5670" w:leader="none"/>
      </w:tabs>
      <w:rPr/>
    </w:pPr>
    <w:r>
      <w:rPr/>
      <mc:AlternateContent>
        <mc:Choice Requires="wps">
          <w:drawing>
            <wp:anchor distT="0" distB="0" distL="0" distR="0" simplePos="0" relativeHeight="12" behindDoc="1" locked="0" layoutInCell="0" allowOverlap="1" wp14:anchorId="11CD9E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6" name="Rettangolo con angoli arrotondati 7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400" cy="10693440"/>
                      </a:xfrm>
                      <a:prstGeom prst="roundRect">
                        <a:avLst>
                          <a:gd name="adj" fmla="val 20000"/>
                        </a:avLst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oundrect id="shape_0" fillcolor="white" stroked="f" o:allowincell="f" style="position:absolute;margin-left:0pt;margin-top:0pt;width:594.95pt;height:841.95pt;mso-wrap-style:none;v-text-anchor:middle;mso-position-horizontal-relative:page;mso-position-vertical-relative:page" wp14:anchorId="11CD9ECE">
              <v:fill o:detectmouseclick="t" type="solid" color2="black"/>
              <v:stroke color="#3465a4" joinstyle="round" endcap="flat"/>
              <w10:wrap type="none"/>
            </v:roundrect>
          </w:pict>
        </mc:Fallback>
      </mc:AlternateContent>
    </w:r>
  </w:p>
  <w:p>
    <w:pPr>
      <w:pStyle w:val="Header"/>
      <w:tabs>
        <w:tab w:val="clear" w:pos="709"/>
        <w:tab w:val="left" w:pos="5670" w:leader="none"/>
      </w:tabs>
      <w:rPr/>
    </w:pPr>
    <w:r>
      <w:rPr>
        <w:rStyle w:val="Nessuno"/>
      </w:rPr>
      <w:tab/>
    </w:r>
  </w:p>
  <w:p>
    <w:pPr>
      <w:pStyle w:val="Header"/>
      <w:tabs>
        <w:tab w:val="clear" w:pos="709"/>
        <w:tab w:val="left" w:pos="5670" w:leader="none"/>
      </w:tabs>
      <w:rPr/>
    </w:pPr>
    <w:r>
      <w:rPr/>
    </w:r>
  </w:p>
  <w:p>
    <w:pPr>
      <w:pStyle w:val="Header"/>
      <w:tabs>
        <w:tab w:val="clear" w:pos="709"/>
        <w:tab w:val="left" w:pos="5670" w:leader="none"/>
      </w:tabs>
      <w:rPr/>
    </w:pPr>
    <w:r>
      <w:rPr/>
      <w:drawing>
        <wp:inline distT="0" distB="0" distL="0" distR="0">
          <wp:extent cx="5220335" cy="1320800"/>
          <wp:effectExtent l="0" t="0" r="0" b="0"/>
          <wp:docPr id="7" name="Immagine2" descr="ima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2" descr="image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220335" cy="1320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20"/>
  <w:defaultTabStop w:val="709"/>
  <w:autoHyphenation w:val="true"/>
  <w:hyphenationZone w:val="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Arial Unicode MS" w:cs="Times New Roman"/>
        <w:lang w:val="it-IT" w:eastAsia="it-IT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0e65d3"/>
    <w:pPr>
      <w:widowControl/>
      <w:suppressAutoHyphens w:val="true"/>
      <w:bidi w:val="0"/>
      <w:spacing w:before="0" w:after="0"/>
      <w:jc w:val="start"/>
    </w:pPr>
    <w:rPr>
      <w:rFonts w:ascii="Times New Roman" w:hAnsi="Times New Roman" w:eastAsia="Arial Unicode MS" w:cs="Arial Unicode MS"/>
      <w:color w:val="000000"/>
      <w:kern w:val="0"/>
      <w:sz w:val="20"/>
      <w:szCs w:val="20"/>
      <w:u w:val="none" w:color="000000"/>
      <w:lang w:val="it-IT" w:eastAsia="it-IT" w:bidi="ar-SA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Hyperlink">
    <w:name w:val="Hyperlink"/>
    <w:rsid w:val="000e65d3"/>
    <w:rPr>
      <w:u w:val="single"/>
    </w:rPr>
  </w:style>
  <w:style w:type="character" w:styleId="Nessuno" w:customStyle="1">
    <w:name w:val="Nessuno"/>
    <w:qFormat/>
    <w:rsid w:val="000e65d3"/>
    <w:rPr/>
  </w:style>
  <w:style w:type="character" w:styleId="Hyperlink0" w:customStyle="1">
    <w:name w:val="Hyperlink.0"/>
    <w:basedOn w:val="Nessuno"/>
    <w:qFormat/>
    <w:rsid w:val="000e65d3"/>
    <w:rPr>
      <w:rFonts w:ascii="Arial" w:hAnsi="Arial" w:eastAsia="Arial" w:cs="Arial"/>
      <w:color w:val="0000FF"/>
      <w:sz w:val="16"/>
      <w:szCs w:val="16"/>
      <w:u w:val="single" w:color="0000FF"/>
      <w:lang w:val="it-IT"/>
    </w:rPr>
  </w:style>
  <w:style w:type="character" w:styleId="TestofumettoCarattere" w:customStyle="1">
    <w:name w:val="Testo fumetto Carattere"/>
    <w:basedOn w:val="DefaultParagraphFont"/>
    <w:link w:val="BalloonText"/>
    <w:uiPriority w:val="99"/>
    <w:semiHidden/>
    <w:qFormat/>
    <w:rsid w:val="00860349"/>
    <w:rPr>
      <w:rFonts w:ascii="Tahoma" w:hAnsi="Tahoma" w:cs="Tahoma"/>
      <w:color w:val="000000"/>
      <w:sz w:val="16"/>
      <w:szCs w:val="16"/>
      <w:u w:val="none" w:color="000000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Titolouser">
    <w:name w:val="Titolo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Indiceuser">
    <w:name w:val="Indice (user)"/>
    <w:basedOn w:val="Normal"/>
    <w:qFormat/>
    <w:pPr>
      <w:suppressLineNumbers/>
    </w:pPr>
    <w:rPr>
      <w:rFonts w:cs="Lucida Sans"/>
    </w:rPr>
  </w:style>
  <w:style w:type="paragraph" w:styleId="Intestazioneepidipagina" w:customStyle="1">
    <w:name w:val="Intestazione e piè di pagina"/>
    <w:qFormat/>
    <w:rsid w:val="000e65d3"/>
    <w:pPr>
      <w:widowControl/>
      <w:tabs>
        <w:tab w:val="clear" w:pos="709"/>
        <w:tab w:val="right" w:pos="9020" w:leader="none"/>
      </w:tabs>
      <w:suppressAutoHyphens w:val="true"/>
      <w:bidi w:val="0"/>
      <w:spacing w:before="0" w:after="0"/>
      <w:jc w:val="start"/>
    </w:pPr>
    <w:rPr>
      <w:rFonts w:ascii="Helvetica Neue" w:hAnsi="Helvetica Neue" w:eastAsia="Arial Unicode MS" w:cs="Arial Unicode MS"/>
      <w:color w:val="000000"/>
      <w:kern w:val="0"/>
      <w:sz w:val="24"/>
      <w:szCs w:val="24"/>
      <w:lang w:val="it-IT" w:eastAsia="it-IT" w:bidi="ar-SA"/>
    </w:rPr>
  </w:style>
  <w:style w:type="paragraph" w:styleId="Intestazioneepidipaginauser">
    <w:name w:val="Intestazione e piè di pagina (user)"/>
    <w:basedOn w:val="Normal"/>
    <w:qFormat/>
    <w:pPr/>
    <w:rPr/>
  </w:style>
  <w:style w:type="paragraph" w:styleId="Footer">
    <w:name w:val="footer"/>
    <w:rsid w:val="000e65d3"/>
    <w:pPr>
      <w:widowControl/>
      <w:suppressAutoHyphens w:val="true"/>
      <w:bidi w:val="0"/>
      <w:spacing w:before="0" w:after="0"/>
      <w:jc w:val="start"/>
    </w:pPr>
    <w:rPr>
      <w:rFonts w:ascii="Times New Roman" w:hAnsi="Times New Roman" w:eastAsia="Arial Unicode MS" w:cs="Arial Unicode MS"/>
      <w:color w:val="000000"/>
      <w:kern w:val="0"/>
      <w:sz w:val="20"/>
      <w:szCs w:val="20"/>
      <w:u w:val="none" w:color="000000"/>
      <w:lang w:val="it-IT" w:eastAsia="it-IT" w:bidi="ar-SA"/>
    </w:rPr>
  </w:style>
  <w:style w:type="paragraph" w:styleId="Header">
    <w:name w:val="header"/>
    <w:rsid w:val="000e65d3"/>
    <w:pPr>
      <w:widowControl/>
      <w:suppressAutoHyphens w:val="true"/>
      <w:bidi w:val="0"/>
      <w:spacing w:before="0" w:after="0"/>
      <w:jc w:val="start"/>
    </w:pPr>
    <w:rPr>
      <w:rFonts w:ascii="Times New Roman" w:hAnsi="Times New Roman" w:eastAsia="Arial Unicode MS" w:cs="Arial Unicode MS"/>
      <w:color w:val="000000"/>
      <w:kern w:val="0"/>
      <w:sz w:val="20"/>
      <w:szCs w:val="20"/>
      <w:u w:val="none" w:color="000000"/>
      <w:lang w:val="it-IT" w:eastAsia="it-IT" w:bidi="ar-SA"/>
    </w:rPr>
  </w:style>
  <w:style w:type="paragraph" w:styleId="Titolo1" w:customStyle="1">
    <w:name w:val="Titolo1"/>
    <w:next w:val="Normal"/>
    <w:qFormat/>
    <w:rsid w:val="000e65d3"/>
    <w:pPr>
      <w:widowControl/>
      <w:suppressAutoHyphens w:val="true"/>
      <w:bidi w:val="0"/>
      <w:spacing w:before="240" w:after="60"/>
      <w:jc w:val="center"/>
    </w:pPr>
    <w:rPr>
      <w:rFonts w:ascii="Cambria" w:hAnsi="Cambria" w:eastAsia="Arial Unicode MS" w:cs="Arial Unicode MS"/>
      <w:b/>
      <w:bCs/>
      <w:color w:val="000000"/>
      <w:kern w:val="2"/>
      <w:sz w:val="32"/>
      <w:szCs w:val="32"/>
      <w:u w:val="none" w:color="000000"/>
      <w:lang w:val="it-IT" w:eastAsia="it-IT" w:bidi="ar-SA"/>
    </w:rPr>
  </w:style>
  <w:style w:type="paragraph" w:styleId="Stiletabella2" w:customStyle="1">
    <w:name w:val="Stile tabella 2"/>
    <w:qFormat/>
    <w:rsid w:val="000e65d3"/>
    <w:pPr>
      <w:widowControl/>
      <w:suppressAutoHyphens w:val="true"/>
      <w:bidi w:val="0"/>
      <w:spacing w:before="0" w:after="0"/>
      <w:jc w:val="start"/>
    </w:pPr>
    <w:rPr>
      <w:rFonts w:ascii="Helvetica Neue" w:hAnsi="Helvetica Neue" w:eastAsia="Helvetica Neue" w:cs="Helvetica Neue"/>
      <w:color w:val="000000"/>
      <w:kern w:val="0"/>
      <w:sz w:val="20"/>
      <w:szCs w:val="20"/>
      <w:lang w:val="it-IT" w:eastAsia="it-IT" w:bidi="ar-SA"/>
    </w:rPr>
  </w:style>
  <w:style w:type="paragraph" w:styleId="BalloonText">
    <w:name w:val="Balloon Text"/>
    <w:basedOn w:val="Normal"/>
    <w:link w:val="TestofumettoCarattere"/>
    <w:uiPriority w:val="99"/>
    <w:semiHidden/>
    <w:unhideWhenUsed/>
    <w:qFormat/>
    <w:rsid w:val="00860349"/>
    <w:pPr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qFormat/>
    <w:rsid w:val="007060ba"/>
    <w:pPr/>
    <w:rPr>
      <w:rFonts w:cs="Times New Roman"/>
      <w:sz w:val="24"/>
      <w:szCs w:val="24"/>
    </w:rPr>
  </w:style>
  <w:style w:type="numbering" w:styleId="Nessunelencouser" w:default="1">
    <w:name w:val="Nessun elenco (user)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rsid w:val="000e65d3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footer" Target="footer3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_rels/footer2.xml.rels><?xml version="1.0" encoding="UTF-8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5.png"/><Relationship Id="rId3" Type="http://schemas.openxmlformats.org/officeDocument/2006/relationships/hyperlink" Target="mailto:cciaa.aosta@ao.legalmail.camcom.it" TargetMode="External"/><Relationship Id="rId4" Type="http://schemas.openxmlformats.org/officeDocument/2006/relationships/hyperlink" Target="mailto:segreteria@ao.camcom.it" TargetMode="External"/>
</Relationships>
</file>

<file path=word/_rels/footer3.xml.rels><?xml version="1.0" encoding="UTF-8"?>
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5.png"/><Relationship Id="rId3" Type="http://schemas.openxmlformats.org/officeDocument/2006/relationships/hyperlink" Target="mailto:cciaa.aosta@ao.legalmail.camcom.it" TargetMode="External"/><Relationship Id="rId4" Type="http://schemas.openxmlformats.org/officeDocument/2006/relationships/hyperlink" Target="mailto:segreteria@ao.camcom.it" TargetMode="Externa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4.png"/>
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 pitchFamily="0" charset="1"/>
        <a:ea typeface="Helvetica Neue" pitchFamily="0" charset="1"/>
        <a:cs typeface="Helvetica Neue" pitchFamily="0" charset="1"/>
      </a:majorFont>
      <a:minorFont>
        <a:latin typeface="Helvetica Neue" pitchFamily="0" charset="1"/>
        <a:ea typeface="Helvetica Neue" pitchFamily="0" charset="1"/>
        <a:cs typeface="Helvetica Neue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F6B82E-A6FB-4AB9-86E6-42C1469C2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Application>LibreOffice/26.2.2.2$Windows_X86_64 LibreOffice_project/1f77d10d6938fd34972958f64b2bcfa54f8b1ba5</Application>
  <AppVersion>15.0000</AppVersion>
  <Pages>3</Pages>
  <Words>770</Words>
  <Characters>4519</Characters>
  <CharactersWithSpaces>5264</CharactersWithSpaces>
  <Paragraphs>36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2026-04-22T09:41:00Z</dcterms:created>
  <dc:creator>Fabrizio Perosillo</dc:creator>
  <dc:description/>
  <dc:language>it-IT</dc:language>
  <cp:lastModifiedBy/>
  <cp:lastPrinted>2026-01-28T09:45:00Z</cp:lastPrinted>
  <dcterms:modified xsi:type="dcterms:W3CDTF">2026-04-29T11:35:24Z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