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60"/>
        <w:ind w:hanging="0" w:left="0"/>
        <w:jc w:val="center"/>
        <w:outlineLvl w:val="1"/>
        <w:rPr/>
      </w:pPr>
      <w:bookmarkStart w:id="0" w:name="_Toc488316395"/>
      <w:bookmarkStart w:id="1" w:name="_Toc482286079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  <w:sz w:val="26"/>
          <w:szCs w:val="26"/>
        </w:rPr>
        <w:t>DICHIARAZIONE SOSTITUTIVA DELL’ATTO DI NOTORIETÀ PER SOGGETTI CHE NON HANNO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themeColor="text1" w:val="000000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485307156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MAISON &amp; LOISIR 2025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– Partecipazione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imprese valdostane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(OPEN VDA CUP D58I24000080009)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721032213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themeColor="text1" w:val="000000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392506247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1463298832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837014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altri settori (specificare quale)……………………………………………………………………………………….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90548100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Datore di lavoro</w:t>
        <w:tab/>
        <w:tab/>
      </w:r>
      <w:sdt>
        <w:sdtPr>
          <w:id w:val="179042977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hanging="3119" w:left="3119"/>
        <w:rPr/>
      </w:pPr>
      <w:sdt>
        <w:sdtPr>
          <w:id w:val="82095369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Lavoratore autonomo       </w:t>
      </w:r>
      <w:sdt>
        <w:sdtPr>
          <w:id w:val="1890250269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Titolare di reddito di lavoro        </w:t>
        <w:tab/>
        <w:t xml:space="preserve">      autonomo di arte e professione</w:t>
      </w:r>
    </w:p>
    <w:p>
      <w:pPr>
        <w:pStyle w:val="Normal"/>
        <w:spacing w:lineRule="exact" w:line="300" w:before="0" w:after="60"/>
        <w:ind w:hanging="3119" w:left="3119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>DICHIARA</w:t>
      </w:r>
    </w:p>
    <w:p>
      <w:pPr>
        <w:pStyle w:val="Normal"/>
        <w:spacing w:before="0" w:after="60"/>
        <w:ind w:firstLine="708" w:left="354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di essere ai fini del 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NON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88697594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2012638319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agricolo che non esercita lavorazioni meccanico-agricole per conto terzi (trebbiatura, mietitrebbiatura ecc.)</w:t>
      </w:r>
    </w:p>
    <w:p>
      <w:pPr>
        <w:pStyle w:val="Normal"/>
        <w:spacing w:before="0" w:after="60"/>
        <w:rPr/>
      </w:pPr>
      <w:sdt>
        <w:sdtPr>
          <w:id w:val="119223912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95093983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7211330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51960813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(specificare) 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97497229"/>
      </w:sdtPr>
      <w:sdtContent>
        <w:p>
          <w:pPr>
            <w:pStyle w:val="Normal"/>
            <w:spacing w:before="0" w:after="60"/>
            <w:ind w:firstLine="708" w:left="424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firstLine="708" w:left="3540"/>
            <w:rPr>
              <w:rFonts w:ascii="Calibri" w:hAnsi="Calibri" w:cs="Calibri" w:asciiTheme="minorHAnsi" w:cstheme="minorHAnsi" w:hAnsiTheme="minorHAnsi"/>
              <w:b/>
              <w:bCs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Ai fini del 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NON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97682537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206167124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versare la contribuzione alla seguente cassa 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3214207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 (specificare)……………………………………………………………………………………….</w:t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i w:val="false"/>
          <w:i w:val="false"/>
          <w:color w:themeColor="text1" w:val="000000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themeColor="text1" w:val="000000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b0d57"/>
    <w:pPr>
      <w:spacing w:lineRule="auto" w:line="276" w:before="0" w:after="140"/>
    </w:pPr>
    <w:rPr/>
  </w:style>
  <w:style w:type="paragraph" w:styleId="List">
    <w:name w:val="List"/>
    <w:basedOn w:val="BodyText"/>
    <w:rsid w:val="001b0d57"/>
    <w:pPr/>
    <w:rPr>
      <w:rFonts w:cs="Arial"/>
    </w:rPr>
  </w:style>
  <w:style w:type="paragraph" w:styleId="Caption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 w:customStyle="1">
    <w:name w:val="Indice"/>
    <w:basedOn w:val="Normal"/>
    <w:qFormat/>
    <w:rsid w:val="001b0d57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b0d57"/>
    <w:pPr/>
    <w:rPr/>
  </w:style>
  <w:style w:type="paragraph" w:styleId="Header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LibreOffice/7.6.4.1$Windows_X86_64 LibreOffice_project/e19e193f88cd6c0525a17fb7a176ed8e6a3e2aa1</Application>
  <AppVersion>15.0000</AppVersion>
  <Pages>2</Pages>
  <Words>612</Words>
  <Characters>4114</Characters>
  <CharactersWithSpaces>4722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2025-01-23T15:51:46Z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